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3BC86">
      <w:pPr>
        <w:snapToGrid w:val="0"/>
        <w:spacing w:line="360" w:lineRule="auto"/>
        <w:rPr>
          <w:rFonts w:hint="eastAsia" w:ascii="仿宋" w:hAnsi="仿宋" w:eastAsia="仿宋" w:cs="仿宋"/>
          <w:b/>
          <w:bCs/>
          <w:color w:val="auto"/>
          <w:sz w:val="32"/>
          <w:szCs w:val="32"/>
          <w:highlight w:val="none"/>
        </w:rPr>
      </w:pPr>
      <w:bookmarkStart w:id="0" w:name="OLE_LINK2"/>
      <w:r>
        <w:rPr>
          <w:rFonts w:hint="eastAsia" w:ascii="仿宋" w:hAnsi="仿宋" w:eastAsia="仿宋" w:cs="仿宋"/>
          <w:b/>
          <w:bCs/>
          <w:color w:val="auto"/>
          <w:sz w:val="32"/>
          <w:szCs w:val="32"/>
          <w:highlight w:val="none"/>
        </w:rPr>
        <w:t>一、项目概况</w:t>
      </w:r>
      <w:r>
        <w:rPr>
          <w:rFonts w:hint="eastAsia" w:ascii="仿宋" w:hAnsi="仿宋" w:eastAsia="仿宋" w:cs="仿宋"/>
          <w:b/>
          <w:bCs/>
          <w:color w:val="auto"/>
          <w:sz w:val="32"/>
          <w:szCs w:val="32"/>
          <w:highlight w:val="none"/>
          <w:lang w:eastAsia="zh-CN"/>
        </w:rPr>
        <w:t>：</w:t>
      </w:r>
    </w:p>
    <w:p w14:paraId="4A419DE7">
      <w:pPr>
        <w:pStyle w:val="2"/>
        <w:snapToGrid w:val="0"/>
        <w:spacing w:line="360" w:lineRule="auto"/>
        <w:ind w:firstLine="480" w:firstLineChars="200"/>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本项目为</w:t>
      </w:r>
      <w:r>
        <w:rPr>
          <w:rFonts w:hint="eastAsia" w:ascii="仿宋" w:hAnsi="仿宋" w:eastAsia="仿宋" w:cs="仿宋"/>
          <w:color w:val="auto"/>
          <w:sz w:val="24"/>
          <w:szCs w:val="24"/>
          <w:highlight w:val="none"/>
          <w:lang w:eastAsia="zh-CN"/>
        </w:rPr>
        <w:t>校车接送服务项目</w:t>
      </w:r>
      <w:r>
        <w:rPr>
          <w:rFonts w:hint="eastAsia" w:ascii="仿宋" w:hAnsi="仿宋" w:eastAsia="仿宋" w:cs="仿宋"/>
          <w:color w:val="auto"/>
          <w:sz w:val="24"/>
          <w:szCs w:val="24"/>
          <w:highlight w:val="none"/>
        </w:rPr>
        <w:t>。本项目要求对</w:t>
      </w:r>
      <w:r>
        <w:rPr>
          <w:rFonts w:hint="eastAsia" w:ascii="仿宋" w:hAnsi="仿宋" w:eastAsia="仿宋" w:cs="仿宋"/>
          <w:b w:val="0"/>
          <w:bCs w:val="0"/>
          <w:color w:val="auto"/>
          <w:spacing w:val="0"/>
          <w:sz w:val="24"/>
          <w:szCs w:val="24"/>
          <w:highlight w:val="none"/>
          <w:u w:val="none"/>
          <w:lang w:eastAsia="zh-CN"/>
        </w:rPr>
        <w:t xml:space="preserve">常州市觅渡桥小学、常州市广化小学校、常州市冠英小学  </w:t>
      </w:r>
      <w:r>
        <w:rPr>
          <w:rFonts w:hint="eastAsia" w:ascii="仿宋" w:hAnsi="仿宋" w:eastAsia="仿宋" w:cs="仿宋"/>
          <w:color w:val="auto"/>
          <w:kern w:val="2"/>
          <w:sz w:val="24"/>
          <w:szCs w:val="24"/>
          <w:highlight w:val="none"/>
          <w:lang w:val="en-US" w:eastAsia="zh-CN"/>
        </w:rPr>
        <w:t>学生日常上下学及晚自习在市内各小区、沿街提供接送服务</w:t>
      </w:r>
      <w:r>
        <w:rPr>
          <w:rFonts w:hint="eastAsia" w:ascii="仿宋" w:hAnsi="仿宋" w:eastAsia="仿宋" w:cs="仿宋"/>
          <w:color w:val="auto"/>
          <w:sz w:val="24"/>
          <w:szCs w:val="24"/>
          <w:highlight w:val="none"/>
          <w:lang w:eastAsia="zh-CN"/>
        </w:rPr>
        <w:t>，同时完成招标文件要求的其他相关服务内容，</w:t>
      </w:r>
      <w:r>
        <w:rPr>
          <w:rFonts w:hint="eastAsia" w:ascii="仿宋" w:hAnsi="仿宋" w:eastAsia="仿宋" w:cs="仿宋"/>
          <w:color w:val="auto"/>
          <w:sz w:val="24"/>
          <w:szCs w:val="24"/>
          <w:highlight w:val="none"/>
          <w:lang w:val="en-US" w:eastAsia="zh-CN"/>
        </w:rPr>
        <w:t>学校人数约：常州市觅渡桥小学2000人、常州市广化小学校1800人、常州市冠英小学3000人，具体乘坐校车人数按家长报名按时结算。</w:t>
      </w:r>
    </w:p>
    <w:bookmarkEnd w:id="0"/>
    <w:p w14:paraId="7BBF09ED">
      <w:pPr>
        <w:snapToGrid w:val="0"/>
        <w:spacing w:line="360" w:lineRule="auto"/>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二、服务期限</w:t>
      </w:r>
      <w:r>
        <w:rPr>
          <w:rFonts w:hint="eastAsia" w:ascii="仿宋" w:hAnsi="仿宋" w:eastAsia="仿宋" w:cs="仿宋"/>
          <w:b/>
          <w:bCs/>
          <w:color w:val="auto"/>
          <w:kern w:val="0"/>
          <w:sz w:val="32"/>
          <w:szCs w:val="32"/>
          <w:highlight w:val="none"/>
          <w:lang w:eastAsia="zh-CN"/>
        </w:rPr>
        <w:t>：</w:t>
      </w:r>
    </w:p>
    <w:p w14:paraId="5D62973E">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pacing w:val="0"/>
          <w:sz w:val="24"/>
          <w:szCs w:val="24"/>
          <w:highlight w:val="none"/>
          <w:lang w:val="en-US" w:eastAsia="zh-CN"/>
        </w:rPr>
        <w:t>三年，合同一年一签，招标人根据中标人的服务情况决定是否续签，考核不合格的不得续签</w:t>
      </w:r>
      <w:r>
        <w:rPr>
          <w:rFonts w:hint="eastAsia" w:ascii="仿宋" w:hAnsi="仿宋" w:eastAsia="仿宋" w:cs="仿宋"/>
          <w:b w:val="0"/>
          <w:bCs w:val="0"/>
          <w:color w:val="auto"/>
          <w:sz w:val="24"/>
          <w:szCs w:val="24"/>
          <w:highlight w:val="none"/>
          <w:lang w:val="en-US" w:eastAsia="zh-CN"/>
        </w:rPr>
        <w:t>。</w:t>
      </w:r>
    </w:p>
    <w:p w14:paraId="6E20C271">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bCs w:val="0"/>
          <w:color w:val="auto"/>
          <w:sz w:val="24"/>
          <w:szCs w:val="24"/>
          <w:highlight w:val="none"/>
        </w:rPr>
      </w:pPr>
      <w:r>
        <w:rPr>
          <w:rFonts w:hint="eastAsia" w:ascii="仿宋" w:hAnsi="仿宋" w:eastAsia="仿宋" w:cs="仿宋"/>
          <w:color w:val="auto"/>
          <w:sz w:val="24"/>
          <w:szCs w:val="24"/>
          <w:highlight w:val="none"/>
          <w:lang w:val="en-US" w:eastAsia="zh-CN"/>
        </w:rPr>
        <w:t>2、项目开始时间：以接到招标人通知为准，</w:t>
      </w:r>
      <w:r>
        <w:rPr>
          <w:rFonts w:hint="eastAsia" w:ascii="仿宋" w:hAnsi="仿宋" w:eastAsia="仿宋" w:cs="仿宋"/>
          <w:b w:val="0"/>
          <w:bCs w:val="0"/>
          <w:color w:val="auto"/>
          <w:kern w:val="2"/>
          <w:sz w:val="24"/>
          <w:szCs w:val="24"/>
          <w:highlight w:val="none"/>
          <w:lang w:val="en-US" w:eastAsia="zh-CN"/>
        </w:rPr>
        <w:t>接送时间按各个学校时间安排</w:t>
      </w:r>
      <w:r>
        <w:rPr>
          <w:rFonts w:hint="eastAsia" w:ascii="仿宋" w:hAnsi="仿宋" w:eastAsia="仿宋" w:cs="仿宋"/>
          <w:color w:val="auto"/>
          <w:sz w:val="24"/>
          <w:szCs w:val="24"/>
          <w:highlight w:val="none"/>
          <w:lang w:val="en-US" w:eastAsia="zh-CN"/>
        </w:rPr>
        <w:t>。</w:t>
      </w:r>
    </w:p>
    <w:p w14:paraId="67C41F35">
      <w:pPr>
        <w:snapToGrid w:val="0"/>
        <w:spacing w:line="360" w:lineRule="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eastAsia="zh-CN"/>
        </w:rPr>
        <w:t>三</w:t>
      </w:r>
      <w:r>
        <w:rPr>
          <w:rFonts w:hint="eastAsia" w:ascii="仿宋" w:hAnsi="仿宋" w:eastAsia="仿宋" w:cs="仿宋"/>
          <w:b/>
          <w:bCs/>
          <w:color w:val="auto"/>
          <w:kern w:val="0"/>
          <w:sz w:val="32"/>
          <w:szCs w:val="32"/>
          <w:highlight w:val="none"/>
        </w:rPr>
        <w:t>、</w:t>
      </w:r>
      <w:r>
        <w:rPr>
          <w:rFonts w:hint="eastAsia" w:ascii="仿宋" w:hAnsi="仿宋" w:eastAsia="仿宋" w:cs="仿宋"/>
          <w:b/>
          <w:bCs/>
          <w:color w:val="auto"/>
          <w:kern w:val="0"/>
          <w:sz w:val="32"/>
          <w:szCs w:val="32"/>
          <w:highlight w:val="none"/>
          <w:lang w:val="en-US" w:eastAsia="zh-CN"/>
        </w:rPr>
        <w:t>基本要求：</w:t>
      </w:r>
    </w:p>
    <w:p w14:paraId="227E3813">
      <w:pPr>
        <w:keepNext w:val="0"/>
        <w:keepLines w:val="0"/>
        <w:pageBreakBefore w:val="0"/>
        <w:widowControl/>
        <w:kinsoku/>
        <w:wordWrap/>
        <w:overflowPunct/>
        <w:topLinePunct w:val="0"/>
        <w:autoSpaceDE/>
        <w:autoSpaceDN/>
        <w:bidi w:val="0"/>
        <w:snapToGrid w:val="0"/>
        <w:spacing w:line="360" w:lineRule="auto"/>
        <w:ind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自</w:t>
      </w:r>
      <w:r>
        <w:rPr>
          <w:rFonts w:hint="eastAsia" w:ascii="仿宋" w:hAnsi="仿宋" w:eastAsia="仿宋" w:cs="仿宋"/>
          <w:color w:val="auto"/>
          <w:sz w:val="24"/>
          <w:szCs w:val="24"/>
          <w:highlight w:val="none"/>
          <w:lang w:val="en-US" w:eastAsia="zh-CN"/>
        </w:rPr>
        <w:t>中标（成交）结果公告</w:t>
      </w:r>
      <w:r>
        <w:rPr>
          <w:rFonts w:hint="eastAsia" w:ascii="仿宋" w:hAnsi="仿宋" w:eastAsia="仿宋" w:cs="仿宋"/>
          <w:color w:val="auto"/>
          <w:sz w:val="24"/>
          <w:szCs w:val="24"/>
          <w:highlight w:val="none"/>
        </w:rPr>
        <w:t>后3日内进行车辆验收。本次项目所投保障车辆需经过</w:t>
      </w:r>
      <w:r>
        <w:rPr>
          <w:rFonts w:hint="eastAsia" w:ascii="仿宋" w:hAnsi="仿宋" w:eastAsia="仿宋" w:cs="仿宋"/>
          <w:color w:val="auto"/>
          <w:sz w:val="24"/>
          <w:szCs w:val="24"/>
          <w:highlight w:val="none"/>
          <w:lang w:val="en-US" w:eastAsia="zh-CN"/>
        </w:rPr>
        <w:t>招标</w:t>
      </w:r>
      <w:r>
        <w:rPr>
          <w:rFonts w:hint="eastAsia" w:ascii="仿宋" w:hAnsi="仿宋" w:eastAsia="仿宋" w:cs="仿宋"/>
          <w:color w:val="auto"/>
          <w:sz w:val="24"/>
          <w:szCs w:val="24"/>
          <w:highlight w:val="none"/>
          <w:lang w:eastAsia="zh-CN"/>
        </w:rPr>
        <w:t>人</w:t>
      </w:r>
      <w:r>
        <w:rPr>
          <w:rFonts w:hint="eastAsia" w:ascii="仿宋" w:hAnsi="仿宋" w:eastAsia="仿宋" w:cs="仿宋"/>
          <w:color w:val="auto"/>
          <w:sz w:val="24"/>
          <w:szCs w:val="24"/>
          <w:highlight w:val="none"/>
        </w:rPr>
        <w:t>验收后，方可进行保障。</w:t>
      </w:r>
    </w:p>
    <w:p w14:paraId="01597359">
      <w:pPr>
        <w:keepNext w:val="0"/>
        <w:keepLines w:val="0"/>
        <w:pageBreakBefore w:val="0"/>
        <w:widowControl/>
        <w:kinsoku/>
        <w:wordWrap/>
        <w:overflowPunct/>
        <w:topLinePunct w:val="0"/>
        <w:autoSpaceDE/>
        <w:autoSpaceDN/>
        <w:bidi w:val="0"/>
        <w:snapToGrid w:val="0"/>
        <w:spacing w:line="360" w:lineRule="auto"/>
        <w:ind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实际车辆使用量、规格和使用时间</w:t>
      </w:r>
      <w:r>
        <w:rPr>
          <w:rFonts w:hint="eastAsia" w:ascii="仿宋" w:hAnsi="仿宋" w:eastAsia="仿宋" w:cs="仿宋"/>
          <w:color w:val="auto"/>
          <w:sz w:val="24"/>
          <w:szCs w:val="24"/>
          <w:highlight w:val="none"/>
          <w:lang w:val="en-US" w:eastAsia="zh-CN"/>
        </w:rPr>
        <w:t>中标人</w:t>
      </w:r>
      <w:r>
        <w:rPr>
          <w:rFonts w:hint="eastAsia" w:ascii="仿宋" w:hAnsi="仿宋" w:eastAsia="仿宋" w:cs="仿宋"/>
          <w:color w:val="auto"/>
          <w:sz w:val="24"/>
          <w:szCs w:val="24"/>
          <w:highlight w:val="none"/>
        </w:rPr>
        <w:t>需根据</w:t>
      </w:r>
      <w:r>
        <w:rPr>
          <w:rFonts w:hint="eastAsia" w:ascii="仿宋" w:hAnsi="仿宋" w:eastAsia="仿宋" w:cs="仿宋"/>
          <w:color w:val="auto"/>
          <w:sz w:val="24"/>
          <w:szCs w:val="24"/>
          <w:highlight w:val="none"/>
          <w:lang w:val="en-US" w:eastAsia="zh-CN"/>
        </w:rPr>
        <w:t>学生需求</w:t>
      </w:r>
      <w:r>
        <w:rPr>
          <w:rFonts w:hint="eastAsia" w:ascii="仿宋" w:hAnsi="仿宋" w:eastAsia="仿宋" w:cs="仿宋"/>
          <w:color w:val="auto"/>
          <w:sz w:val="24"/>
          <w:szCs w:val="24"/>
          <w:highlight w:val="none"/>
        </w:rPr>
        <w:t>及</w:t>
      </w:r>
      <w:r>
        <w:rPr>
          <w:rFonts w:hint="eastAsia" w:ascii="仿宋" w:hAnsi="仿宋" w:eastAsia="仿宋" w:cs="仿宋"/>
          <w:color w:val="auto"/>
          <w:sz w:val="24"/>
          <w:szCs w:val="24"/>
          <w:highlight w:val="none"/>
          <w:lang w:val="en-US" w:eastAsia="zh-CN"/>
        </w:rPr>
        <w:t>学校时间</w:t>
      </w:r>
      <w:r>
        <w:rPr>
          <w:rFonts w:hint="eastAsia" w:ascii="仿宋" w:hAnsi="仿宋" w:eastAsia="仿宋" w:cs="仿宋"/>
          <w:color w:val="auto"/>
          <w:sz w:val="24"/>
          <w:szCs w:val="24"/>
          <w:highlight w:val="none"/>
        </w:rPr>
        <w:t>安排</w:t>
      </w:r>
      <w:r>
        <w:rPr>
          <w:rFonts w:hint="eastAsia" w:ascii="仿宋" w:hAnsi="仿宋" w:eastAsia="仿宋" w:cs="仿宋"/>
          <w:color w:val="auto"/>
          <w:sz w:val="24"/>
          <w:szCs w:val="24"/>
          <w:highlight w:val="none"/>
          <w:lang w:val="en-US" w:eastAsia="zh-CN"/>
        </w:rPr>
        <w:t>自行</w:t>
      </w:r>
      <w:r>
        <w:rPr>
          <w:rFonts w:hint="eastAsia" w:ascii="仿宋" w:hAnsi="仿宋" w:eastAsia="仿宋" w:cs="仿宋"/>
          <w:color w:val="auto"/>
          <w:sz w:val="24"/>
          <w:szCs w:val="24"/>
          <w:highlight w:val="none"/>
        </w:rPr>
        <w:t>调整。</w:t>
      </w:r>
    </w:p>
    <w:p w14:paraId="5A9D179B">
      <w:pPr>
        <w:keepNext w:val="0"/>
        <w:keepLines w:val="0"/>
        <w:pageBreakBefore w:val="0"/>
        <w:widowControl/>
        <w:kinsoku/>
        <w:wordWrap/>
        <w:overflowPunct/>
        <w:topLinePunct w:val="0"/>
        <w:autoSpaceDE/>
        <w:autoSpaceDN/>
        <w:bidi w:val="0"/>
        <w:snapToGrid w:val="0"/>
        <w:spacing w:line="360" w:lineRule="auto"/>
        <w:ind w:firstLine="480" w:firstLineChars="20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3.投标人</w:t>
      </w:r>
      <w:r>
        <w:rPr>
          <w:rFonts w:hint="eastAsia" w:ascii="仿宋" w:hAnsi="仿宋" w:eastAsia="仿宋" w:cs="仿宋"/>
          <w:color w:val="auto"/>
          <w:sz w:val="24"/>
          <w:szCs w:val="24"/>
          <w:highlight w:val="none"/>
        </w:rPr>
        <w:t>的投标报价为其承接服务的最高限价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在实际收费时不得临时加价或变更。</w:t>
      </w:r>
    </w:p>
    <w:p w14:paraId="5307B3C7">
      <w:pPr>
        <w:widowControl/>
        <w:snapToGrid w:val="0"/>
        <w:spacing w:line="360" w:lineRule="auto"/>
        <w:ind w:firstLine="480" w:firstLineChars="20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4.投标人</w:t>
      </w:r>
      <w:r>
        <w:rPr>
          <w:rFonts w:hint="eastAsia" w:ascii="仿宋" w:hAnsi="仿宋" w:eastAsia="仿宋" w:cs="仿宋"/>
          <w:b w:val="0"/>
          <w:bCs w:val="0"/>
          <w:color w:val="auto"/>
          <w:sz w:val="24"/>
          <w:szCs w:val="24"/>
          <w:highlight w:val="none"/>
        </w:rPr>
        <w:t>需</w:t>
      </w:r>
      <w:r>
        <w:rPr>
          <w:rFonts w:hint="eastAsia" w:ascii="仿宋" w:hAnsi="仿宋" w:eastAsia="仿宋" w:cs="仿宋"/>
          <w:b w:val="0"/>
          <w:bCs w:val="0"/>
          <w:color w:val="auto"/>
          <w:sz w:val="24"/>
          <w:szCs w:val="24"/>
          <w:highlight w:val="none"/>
          <w:lang w:val="en-US" w:eastAsia="zh-CN"/>
        </w:rPr>
        <w:t>有固定停车场，车辆集中停放</w:t>
      </w:r>
      <w:r>
        <w:rPr>
          <w:rFonts w:hint="eastAsia" w:ascii="仿宋" w:hAnsi="仿宋" w:eastAsia="仿宋" w:cs="仿宋"/>
          <w:b w:val="0"/>
          <w:bCs w:val="0"/>
          <w:color w:val="auto"/>
          <w:sz w:val="24"/>
          <w:szCs w:val="24"/>
          <w:highlight w:val="none"/>
        </w:rPr>
        <w:t>，以更快捷更方便地保障用车需求，其中产生的停车、油料等费用由</w:t>
      </w:r>
      <w:r>
        <w:rPr>
          <w:rFonts w:hint="eastAsia" w:ascii="仿宋" w:hAnsi="仿宋" w:eastAsia="仿宋" w:cs="仿宋"/>
          <w:b w:val="0"/>
          <w:bCs w:val="0"/>
          <w:color w:val="auto"/>
          <w:sz w:val="24"/>
          <w:szCs w:val="24"/>
          <w:highlight w:val="none"/>
          <w:lang w:val="en-US" w:eastAsia="zh-CN"/>
        </w:rPr>
        <w:t>投标人</w:t>
      </w:r>
      <w:r>
        <w:rPr>
          <w:rFonts w:hint="eastAsia" w:ascii="仿宋" w:hAnsi="仿宋" w:eastAsia="仿宋" w:cs="仿宋"/>
          <w:b w:val="0"/>
          <w:bCs w:val="0"/>
          <w:color w:val="auto"/>
          <w:sz w:val="24"/>
          <w:szCs w:val="24"/>
          <w:highlight w:val="none"/>
        </w:rPr>
        <w:t>自行承担。</w:t>
      </w:r>
    </w:p>
    <w:p w14:paraId="7046F21C">
      <w:pPr>
        <w:widowControl/>
        <w:snapToGrid w:val="0"/>
        <w:spacing w:line="360" w:lineRule="auto"/>
        <w:ind w:firstLine="480" w:firstLineChars="200"/>
        <w:jc w:val="left"/>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5.中标单位与各学校分别签订合同。</w:t>
      </w:r>
    </w:p>
    <w:p w14:paraId="384D098C">
      <w:pPr>
        <w:snapToGrid w:val="0"/>
        <w:spacing w:line="360" w:lineRule="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四</w:t>
      </w:r>
      <w:r>
        <w:rPr>
          <w:rFonts w:hint="eastAsia" w:ascii="仿宋" w:hAnsi="仿宋" w:eastAsia="仿宋" w:cs="仿宋"/>
          <w:b/>
          <w:bCs/>
          <w:color w:val="auto"/>
          <w:kern w:val="0"/>
          <w:sz w:val="32"/>
          <w:szCs w:val="32"/>
          <w:highlight w:val="none"/>
        </w:rPr>
        <w:t>、</w:t>
      </w:r>
      <w:r>
        <w:rPr>
          <w:rFonts w:hint="eastAsia" w:ascii="仿宋" w:hAnsi="仿宋" w:eastAsia="仿宋" w:cs="仿宋"/>
          <w:b/>
          <w:bCs/>
          <w:color w:val="auto"/>
          <w:kern w:val="0"/>
          <w:sz w:val="32"/>
          <w:szCs w:val="32"/>
          <w:highlight w:val="none"/>
          <w:lang w:val="en-US" w:eastAsia="zh-CN"/>
        </w:rPr>
        <w:t>安全要求：</w:t>
      </w:r>
    </w:p>
    <w:p w14:paraId="03FE23D1">
      <w:pPr>
        <w:keepNext w:val="0"/>
        <w:keepLines w:val="0"/>
        <w:pageBreakBefore w:val="0"/>
        <w:widowControl/>
        <w:kinsoku/>
        <w:wordWrap/>
        <w:overflowPunct/>
        <w:topLinePunct w:val="0"/>
        <w:autoSpaceDE/>
        <w:autoSpaceDN/>
        <w:bidi w:val="0"/>
        <w:snapToGrid w:val="0"/>
        <w:spacing w:line="360" w:lineRule="auto"/>
        <w:ind w:firstLine="480" w:firstLineChars="200"/>
        <w:jc w:val="left"/>
        <w:textAlignment w:val="auto"/>
        <w:outlineLvl w:val="9"/>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rPr>
        <w:t>1.</w:t>
      </w:r>
      <w:r>
        <w:rPr>
          <w:rFonts w:hint="eastAsia" w:ascii="仿宋" w:hAnsi="仿宋" w:eastAsia="仿宋" w:cs="仿宋"/>
          <w:bCs w:val="0"/>
          <w:color w:val="auto"/>
          <w:sz w:val="24"/>
          <w:szCs w:val="24"/>
          <w:highlight w:val="none"/>
          <w:lang w:val="en-US" w:eastAsia="zh-CN"/>
        </w:rPr>
        <w:t>投标人应</w:t>
      </w:r>
      <w:r>
        <w:rPr>
          <w:rFonts w:hint="eastAsia" w:ascii="仿宋" w:hAnsi="仿宋" w:eastAsia="仿宋" w:cs="仿宋"/>
          <w:bCs w:val="0"/>
          <w:color w:val="auto"/>
          <w:sz w:val="24"/>
          <w:szCs w:val="24"/>
          <w:highlight w:val="none"/>
        </w:rPr>
        <w:t>建立健全校车安全管理制度，加强校车出车前的安全技术条件检查，定期进行安全维护，建立安全维护档案，保证校车处于良好技术状态。对于不符合安全技术条件的校车，及时停运，并由依法取得相应资质的维修企业维修，消除安全隐患后方可继续用于接送学生。每半年进行一次安全技术检验。校车使用许可、校车标牌超出有效期前应及时重新申请取得校车使用许可。</w:t>
      </w:r>
    </w:p>
    <w:p w14:paraId="704635A5">
      <w:pPr>
        <w:keepNext w:val="0"/>
        <w:keepLines w:val="0"/>
        <w:pageBreakBefore w:val="0"/>
        <w:widowControl/>
        <w:kinsoku/>
        <w:wordWrap/>
        <w:overflowPunct/>
        <w:topLinePunct w:val="0"/>
        <w:autoSpaceDE/>
        <w:autoSpaceDN/>
        <w:bidi w:val="0"/>
        <w:snapToGrid w:val="0"/>
        <w:spacing w:line="360" w:lineRule="auto"/>
        <w:ind w:firstLine="480" w:firstLineChars="200"/>
        <w:jc w:val="left"/>
        <w:textAlignment w:val="auto"/>
        <w:outlineLvl w:val="9"/>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rPr>
        <w:t>2.</w:t>
      </w:r>
      <w:r>
        <w:rPr>
          <w:rFonts w:hint="eastAsia" w:ascii="仿宋" w:hAnsi="仿宋" w:eastAsia="仿宋" w:cs="仿宋"/>
          <w:bCs w:val="0"/>
          <w:color w:val="auto"/>
          <w:sz w:val="24"/>
          <w:szCs w:val="24"/>
          <w:highlight w:val="none"/>
          <w:lang w:val="en-US" w:eastAsia="zh-CN"/>
        </w:rPr>
        <w:t>投标人应</w:t>
      </w:r>
      <w:r>
        <w:rPr>
          <w:rFonts w:hint="eastAsia" w:ascii="仿宋" w:hAnsi="仿宋" w:eastAsia="仿宋" w:cs="仿宋"/>
          <w:bCs w:val="0"/>
          <w:color w:val="auto"/>
          <w:sz w:val="24"/>
          <w:szCs w:val="24"/>
          <w:highlight w:val="none"/>
        </w:rPr>
        <w:t>保证校车符合国家有关标准，配备校车标志灯和停车指示标志，配备逃生锤、灭火器、急救箱等安全设备和按照规定安装具有行驶记录功能的卫星定位装置。</w:t>
      </w:r>
    </w:p>
    <w:p w14:paraId="4D1C9CFC">
      <w:pPr>
        <w:keepNext w:val="0"/>
        <w:keepLines w:val="0"/>
        <w:pageBreakBefore w:val="0"/>
        <w:widowControl/>
        <w:kinsoku/>
        <w:wordWrap/>
        <w:overflowPunct/>
        <w:topLinePunct w:val="0"/>
        <w:autoSpaceDE/>
        <w:autoSpaceDN/>
        <w:bidi w:val="0"/>
        <w:snapToGrid w:val="0"/>
        <w:spacing w:line="360" w:lineRule="auto"/>
        <w:ind w:firstLine="480" w:firstLineChars="200"/>
        <w:jc w:val="left"/>
        <w:textAlignment w:val="auto"/>
        <w:outlineLvl w:val="9"/>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rPr>
        <w:t>3.</w:t>
      </w:r>
      <w:r>
        <w:rPr>
          <w:rFonts w:hint="eastAsia" w:ascii="仿宋" w:hAnsi="仿宋" w:eastAsia="仿宋" w:cs="仿宋"/>
          <w:bCs w:val="0"/>
          <w:color w:val="auto"/>
          <w:sz w:val="24"/>
          <w:szCs w:val="24"/>
          <w:highlight w:val="none"/>
          <w:lang w:val="en-US" w:eastAsia="zh-CN"/>
        </w:rPr>
        <w:t>投标人应</w:t>
      </w:r>
      <w:r>
        <w:rPr>
          <w:rFonts w:hint="eastAsia" w:ascii="仿宋" w:hAnsi="仿宋" w:eastAsia="仿宋" w:cs="仿宋"/>
          <w:bCs w:val="0"/>
          <w:color w:val="auto"/>
          <w:sz w:val="24"/>
          <w:szCs w:val="24"/>
          <w:highlight w:val="none"/>
        </w:rPr>
        <w:t>加强对校车驾驶人的管理，定期对校车驾驶人开展安全教育，督促校车驾驶人强化安全意识，遵守交通规则和校车驾驶要求，严禁超载、超速、酒后驾驶、疲劳驾驶、逆向超车等交通违法行为。督促组织校车驾驶人在每个记分周期结束后三十日内到公安机关交通管理部门接受审验。配合</w:t>
      </w:r>
      <w:r>
        <w:rPr>
          <w:rFonts w:hint="eastAsia" w:ascii="仿宋" w:hAnsi="仿宋" w:eastAsia="仿宋" w:cs="仿宋"/>
          <w:bCs w:val="0"/>
          <w:color w:val="auto"/>
          <w:sz w:val="24"/>
          <w:szCs w:val="24"/>
          <w:highlight w:val="none"/>
          <w:lang w:val="en-US" w:eastAsia="zh-CN"/>
        </w:rPr>
        <w:t>采购人</w:t>
      </w:r>
      <w:r>
        <w:rPr>
          <w:rFonts w:hint="eastAsia" w:ascii="仿宋" w:hAnsi="仿宋" w:eastAsia="仿宋" w:cs="仿宋"/>
          <w:bCs w:val="0"/>
          <w:color w:val="auto"/>
          <w:sz w:val="24"/>
          <w:szCs w:val="24"/>
          <w:highlight w:val="none"/>
        </w:rPr>
        <w:t>组织开展校车应急疏散演练。保证校车驾驶人与校车标牌记载的驾驶人一致。配合相关部门定期对校车驾驶人进行资格审查和体检，确保驾驶人身体健康良好。</w:t>
      </w:r>
    </w:p>
    <w:p w14:paraId="09A4298C">
      <w:pPr>
        <w:keepNext w:val="0"/>
        <w:keepLines w:val="0"/>
        <w:pageBreakBefore w:val="0"/>
        <w:widowControl/>
        <w:kinsoku/>
        <w:wordWrap/>
        <w:overflowPunct/>
        <w:topLinePunct w:val="0"/>
        <w:autoSpaceDE/>
        <w:autoSpaceDN/>
        <w:bidi w:val="0"/>
        <w:snapToGrid w:val="0"/>
        <w:spacing w:line="360" w:lineRule="auto"/>
        <w:ind w:firstLine="480" w:firstLineChars="200"/>
        <w:jc w:val="left"/>
        <w:textAlignment w:val="auto"/>
        <w:outlineLvl w:val="9"/>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rPr>
        <w:t>4.</w:t>
      </w:r>
      <w:r>
        <w:rPr>
          <w:rFonts w:hint="eastAsia" w:ascii="仿宋" w:hAnsi="仿宋" w:eastAsia="仿宋" w:cs="仿宋"/>
          <w:bCs w:val="0"/>
          <w:color w:val="auto"/>
          <w:sz w:val="24"/>
          <w:szCs w:val="24"/>
          <w:highlight w:val="none"/>
          <w:lang w:val="en-US" w:eastAsia="zh-CN"/>
        </w:rPr>
        <w:t>投标人应</w:t>
      </w:r>
      <w:r>
        <w:rPr>
          <w:rFonts w:hint="eastAsia" w:ascii="仿宋" w:hAnsi="仿宋" w:eastAsia="仿宋" w:cs="仿宋"/>
          <w:bCs w:val="0"/>
          <w:color w:val="auto"/>
          <w:sz w:val="24"/>
          <w:szCs w:val="24"/>
          <w:highlight w:val="none"/>
        </w:rPr>
        <w:t>保证提供服务的校车和校车驾驶人符合国家规定的条件，主动向</w:t>
      </w:r>
      <w:r>
        <w:rPr>
          <w:rFonts w:hint="eastAsia" w:ascii="仿宋" w:hAnsi="仿宋" w:eastAsia="仿宋" w:cs="仿宋"/>
          <w:bCs w:val="0"/>
          <w:color w:val="auto"/>
          <w:sz w:val="24"/>
          <w:szCs w:val="24"/>
          <w:highlight w:val="none"/>
          <w:lang w:val="en-US" w:eastAsia="zh-CN"/>
        </w:rPr>
        <w:t>采购人</w:t>
      </w:r>
      <w:r>
        <w:rPr>
          <w:rFonts w:hint="eastAsia" w:ascii="仿宋" w:hAnsi="仿宋" w:eastAsia="仿宋" w:cs="仿宋"/>
          <w:bCs w:val="0"/>
          <w:color w:val="auto"/>
          <w:sz w:val="24"/>
          <w:szCs w:val="24"/>
          <w:highlight w:val="none"/>
        </w:rPr>
        <w:t>如实提供能够证明校车和校车驾驶人条件的有关证件、资料。</w:t>
      </w:r>
      <w:r>
        <w:rPr>
          <w:rFonts w:hint="eastAsia" w:ascii="仿宋" w:hAnsi="仿宋" w:eastAsia="仿宋" w:cs="仿宋"/>
          <w:bCs w:val="0"/>
          <w:color w:val="auto"/>
          <w:sz w:val="24"/>
          <w:szCs w:val="24"/>
          <w:highlight w:val="none"/>
          <w:lang w:val="en-US" w:eastAsia="zh-CN"/>
        </w:rPr>
        <w:t>投标人</w:t>
      </w:r>
      <w:r>
        <w:rPr>
          <w:rFonts w:hint="eastAsia" w:ascii="仿宋" w:hAnsi="仿宋" w:eastAsia="仿宋" w:cs="仿宋"/>
          <w:bCs w:val="0"/>
          <w:color w:val="auto"/>
          <w:sz w:val="24"/>
          <w:szCs w:val="24"/>
          <w:highlight w:val="none"/>
        </w:rPr>
        <w:t>因提供变造、伪造证件、资料造成后果的，由</w:t>
      </w:r>
      <w:r>
        <w:rPr>
          <w:rFonts w:hint="eastAsia" w:ascii="仿宋" w:hAnsi="仿宋" w:eastAsia="仿宋" w:cs="仿宋"/>
          <w:bCs w:val="0"/>
          <w:color w:val="auto"/>
          <w:sz w:val="24"/>
          <w:szCs w:val="24"/>
          <w:highlight w:val="none"/>
          <w:lang w:val="en-US" w:eastAsia="zh-CN"/>
        </w:rPr>
        <w:t>投标人</w:t>
      </w:r>
      <w:r>
        <w:rPr>
          <w:rFonts w:hint="eastAsia" w:ascii="仿宋" w:hAnsi="仿宋" w:eastAsia="仿宋" w:cs="仿宋"/>
          <w:bCs w:val="0"/>
          <w:color w:val="auto"/>
          <w:sz w:val="24"/>
          <w:szCs w:val="24"/>
          <w:highlight w:val="none"/>
        </w:rPr>
        <w:t>承担一切责任。</w:t>
      </w:r>
    </w:p>
    <w:p w14:paraId="5C252E38">
      <w:pPr>
        <w:keepNext w:val="0"/>
        <w:keepLines w:val="0"/>
        <w:pageBreakBefore w:val="0"/>
        <w:widowControl/>
        <w:kinsoku/>
        <w:wordWrap/>
        <w:overflowPunct/>
        <w:topLinePunct w:val="0"/>
        <w:autoSpaceDE/>
        <w:autoSpaceDN/>
        <w:bidi w:val="0"/>
        <w:snapToGrid w:val="0"/>
        <w:spacing w:line="360" w:lineRule="auto"/>
        <w:ind w:firstLine="480" w:firstLineChars="200"/>
        <w:jc w:val="left"/>
        <w:textAlignment w:val="auto"/>
        <w:outlineLvl w:val="9"/>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rPr>
        <w:t>5.校车运载学生，应当按照校车标牌载明的线路行驶，遇有交通管制、道路施工以及自然灾害、恶劣气象条件或者重大交通事故等影响道路通行情形时，应另选择安全的线路并</w:t>
      </w:r>
      <w:r>
        <w:rPr>
          <w:rFonts w:hint="eastAsia" w:ascii="仿宋" w:hAnsi="仿宋" w:eastAsia="仿宋" w:cs="仿宋"/>
          <w:bCs w:val="0"/>
          <w:color w:val="auto"/>
          <w:sz w:val="24"/>
          <w:szCs w:val="24"/>
          <w:highlight w:val="none"/>
          <w:lang w:eastAsia="zh-CN"/>
        </w:rPr>
        <w:t>告知采购人</w:t>
      </w:r>
      <w:r>
        <w:rPr>
          <w:rFonts w:hint="eastAsia" w:ascii="仿宋" w:hAnsi="仿宋" w:eastAsia="仿宋" w:cs="仿宋"/>
          <w:bCs w:val="0"/>
          <w:color w:val="auto"/>
          <w:sz w:val="24"/>
          <w:szCs w:val="24"/>
          <w:highlight w:val="none"/>
        </w:rPr>
        <w:t>。若需变更行驶线路，应重新取得校车使用许可和校车标牌。</w:t>
      </w:r>
    </w:p>
    <w:p w14:paraId="65B7F4B0">
      <w:pPr>
        <w:keepNext w:val="0"/>
        <w:keepLines w:val="0"/>
        <w:pageBreakBefore w:val="0"/>
        <w:widowControl/>
        <w:kinsoku/>
        <w:wordWrap/>
        <w:overflowPunct/>
        <w:topLinePunct w:val="0"/>
        <w:autoSpaceDE/>
        <w:autoSpaceDN/>
        <w:bidi w:val="0"/>
        <w:snapToGrid w:val="0"/>
        <w:spacing w:line="360" w:lineRule="auto"/>
        <w:ind w:firstLine="480" w:firstLineChars="200"/>
        <w:jc w:val="left"/>
        <w:textAlignment w:val="auto"/>
        <w:outlineLvl w:val="9"/>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rPr>
        <w:t>6.遇校车接送学生期间发生故障或道路交通事故的，</w:t>
      </w:r>
      <w:r>
        <w:rPr>
          <w:rFonts w:hint="eastAsia" w:ascii="仿宋" w:hAnsi="仿宋" w:eastAsia="仿宋" w:cs="仿宋"/>
          <w:bCs w:val="0"/>
          <w:color w:val="auto"/>
          <w:sz w:val="24"/>
          <w:szCs w:val="24"/>
          <w:highlight w:val="none"/>
          <w:lang w:val="en-US" w:eastAsia="zh-CN"/>
        </w:rPr>
        <w:t>投标人应</w:t>
      </w:r>
      <w:r>
        <w:rPr>
          <w:rFonts w:hint="eastAsia" w:ascii="仿宋" w:hAnsi="仿宋" w:eastAsia="仿宋" w:cs="仿宋"/>
          <w:bCs w:val="0"/>
          <w:color w:val="auto"/>
          <w:sz w:val="24"/>
          <w:szCs w:val="24"/>
          <w:highlight w:val="none"/>
        </w:rPr>
        <w:t>当及时进行处置，安全转运学生，并配合公安机关交管部门做好交通事故的处理工作。</w:t>
      </w:r>
    </w:p>
    <w:p w14:paraId="3B96C6E4">
      <w:pPr>
        <w:keepNext w:val="0"/>
        <w:keepLines w:val="0"/>
        <w:pageBreakBefore w:val="0"/>
        <w:widowControl/>
        <w:kinsoku/>
        <w:wordWrap/>
        <w:overflowPunct/>
        <w:topLinePunct w:val="0"/>
        <w:autoSpaceDE/>
        <w:autoSpaceDN/>
        <w:bidi w:val="0"/>
        <w:snapToGrid w:val="0"/>
        <w:spacing w:line="360" w:lineRule="auto"/>
        <w:ind w:firstLine="480" w:firstLineChars="200"/>
        <w:jc w:val="left"/>
        <w:textAlignment w:val="auto"/>
        <w:outlineLvl w:val="9"/>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rPr>
        <w:t>7.</w:t>
      </w:r>
      <w:r>
        <w:rPr>
          <w:rFonts w:hint="eastAsia" w:ascii="仿宋" w:hAnsi="仿宋" w:eastAsia="仿宋" w:cs="仿宋"/>
          <w:bCs w:val="0"/>
          <w:color w:val="auto"/>
          <w:sz w:val="24"/>
          <w:szCs w:val="24"/>
          <w:highlight w:val="none"/>
          <w:lang w:val="en-US" w:eastAsia="zh-CN"/>
        </w:rPr>
        <w:t>投标人应</w:t>
      </w:r>
      <w:r>
        <w:rPr>
          <w:rFonts w:hint="eastAsia" w:ascii="仿宋" w:hAnsi="仿宋" w:eastAsia="仿宋" w:cs="仿宋"/>
          <w:bCs w:val="0"/>
          <w:color w:val="auto"/>
          <w:sz w:val="24"/>
          <w:szCs w:val="24"/>
          <w:highlight w:val="none"/>
        </w:rPr>
        <w:t>严格按照有关规定使用校车标牌和校车标志灯。校车未运载学生上道路行驶的，不得使用校车标牌、校车标志灯和停车指示标志。校车达到报废标准或者不再作为校车使用的，</w:t>
      </w:r>
      <w:r>
        <w:rPr>
          <w:rFonts w:hint="eastAsia" w:ascii="仿宋" w:hAnsi="仿宋" w:eastAsia="仿宋" w:cs="仿宋"/>
          <w:bCs w:val="0"/>
          <w:color w:val="auto"/>
          <w:sz w:val="24"/>
          <w:szCs w:val="24"/>
          <w:highlight w:val="none"/>
          <w:lang w:val="en-US" w:eastAsia="zh-CN"/>
        </w:rPr>
        <w:t>投标人应</w:t>
      </w:r>
      <w:r>
        <w:rPr>
          <w:rFonts w:hint="eastAsia" w:ascii="仿宋" w:hAnsi="仿宋" w:eastAsia="仿宋" w:cs="仿宋"/>
          <w:bCs w:val="0"/>
          <w:color w:val="auto"/>
          <w:sz w:val="24"/>
          <w:szCs w:val="24"/>
          <w:highlight w:val="none"/>
        </w:rPr>
        <w:t>当将校车标牌交回公安机关交通管理部门。</w:t>
      </w:r>
    </w:p>
    <w:p w14:paraId="7191E870">
      <w:pPr>
        <w:widowControl/>
        <w:snapToGrid w:val="0"/>
        <w:spacing w:line="360" w:lineRule="auto"/>
        <w:ind w:firstLine="480" w:firstLineChars="200"/>
        <w:jc w:val="left"/>
        <w:outlineLvl w:val="9"/>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rPr>
        <w:t>8.</w:t>
      </w:r>
      <w:r>
        <w:rPr>
          <w:rFonts w:hint="eastAsia" w:ascii="仿宋" w:hAnsi="仿宋" w:eastAsia="仿宋" w:cs="仿宋"/>
          <w:bCs w:val="0"/>
          <w:color w:val="auto"/>
          <w:sz w:val="24"/>
          <w:szCs w:val="24"/>
          <w:highlight w:val="none"/>
          <w:lang w:val="en-US" w:eastAsia="zh-CN"/>
        </w:rPr>
        <w:t>投标人应</w:t>
      </w:r>
      <w:r>
        <w:rPr>
          <w:rFonts w:hint="eastAsia" w:ascii="仿宋" w:hAnsi="仿宋" w:eastAsia="仿宋" w:cs="仿宋"/>
          <w:bCs w:val="0"/>
          <w:color w:val="auto"/>
          <w:sz w:val="24"/>
          <w:szCs w:val="24"/>
          <w:highlight w:val="none"/>
        </w:rPr>
        <w:t>所</w:t>
      </w:r>
      <w:r>
        <w:rPr>
          <w:rFonts w:hint="eastAsia" w:ascii="仿宋" w:hAnsi="仿宋" w:eastAsia="仿宋" w:cs="仿宋"/>
          <w:bCs w:val="0"/>
          <w:color w:val="auto"/>
          <w:sz w:val="24"/>
          <w:szCs w:val="24"/>
          <w:highlight w:val="none"/>
          <w:lang w:val="en-US" w:eastAsia="zh-CN"/>
        </w:rPr>
        <w:t>使用</w:t>
      </w:r>
      <w:r>
        <w:rPr>
          <w:rFonts w:hint="eastAsia" w:ascii="仿宋" w:hAnsi="仿宋" w:eastAsia="仿宋" w:cs="仿宋"/>
          <w:bCs w:val="0"/>
          <w:color w:val="auto"/>
          <w:sz w:val="24"/>
          <w:szCs w:val="24"/>
          <w:highlight w:val="none"/>
        </w:rPr>
        <w:t>校车因故不能接送学生时，</w:t>
      </w:r>
      <w:r>
        <w:rPr>
          <w:rFonts w:hint="eastAsia" w:ascii="仿宋" w:hAnsi="仿宋" w:eastAsia="仿宋" w:cs="仿宋"/>
          <w:bCs w:val="0"/>
          <w:color w:val="auto"/>
          <w:sz w:val="24"/>
          <w:szCs w:val="24"/>
          <w:highlight w:val="none"/>
          <w:lang w:val="en-US" w:eastAsia="zh-CN"/>
        </w:rPr>
        <w:t>投标人应</w:t>
      </w:r>
      <w:r>
        <w:rPr>
          <w:rFonts w:hint="eastAsia" w:ascii="仿宋" w:hAnsi="仿宋" w:eastAsia="仿宋" w:cs="仿宋"/>
          <w:bCs w:val="0"/>
          <w:color w:val="auto"/>
          <w:sz w:val="24"/>
          <w:szCs w:val="24"/>
          <w:highlight w:val="none"/>
        </w:rPr>
        <w:t>调配其他符合国家标准的校车</w:t>
      </w:r>
      <w:r>
        <w:rPr>
          <w:rFonts w:hint="eastAsia" w:ascii="仿宋" w:hAnsi="仿宋" w:eastAsia="仿宋" w:cs="仿宋"/>
          <w:bCs w:val="0"/>
          <w:color w:val="auto"/>
          <w:sz w:val="24"/>
          <w:szCs w:val="24"/>
          <w:highlight w:val="none"/>
          <w:lang w:val="en-US" w:eastAsia="zh-CN"/>
        </w:rPr>
        <w:t>及时接引</w:t>
      </w:r>
      <w:r>
        <w:rPr>
          <w:rFonts w:hint="eastAsia" w:ascii="仿宋" w:hAnsi="仿宋" w:eastAsia="仿宋" w:cs="仿宋"/>
          <w:bCs w:val="0"/>
          <w:color w:val="auto"/>
          <w:sz w:val="24"/>
          <w:szCs w:val="24"/>
          <w:highlight w:val="none"/>
        </w:rPr>
        <w:t>。</w:t>
      </w:r>
    </w:p>
    <w:p w14:paraId="50CAE5D7">
      <w:pPr>
        <w:widowControl/>
        <w:snapToGrid w:val="0"/>
        <w:spacing w:line="360" w:lineRule="auto"/>
        <w:ind w:firstLine="480" w:firstLineChars="200"/>
        <w:jc w:val="left"/>
        <w:outlineLvl w:val="9"/>
        <w:rPr>
          <w:rFonts w:hint="eastAsia" w:ascii="仿宋" w:hAnsi="仿宋" w:eastAsia="仿宋" w:cs="仿宋"/>
          <w:bCs w:val="0"/>
          <w:color w:val="auto"/>
          <w:sz w:val="24"/>
          <w:szCs w:val="24"/>
          <w:highlight w:val="none"/>
          <w:lang w:val="en-US" w:eastAsia="zh-CN"/>
        </w:rPr>
      </w:pPr>
      <w:r>
        <w:rPr>
          <w:rFonts w:hint="eastAsia" w:ascii="仿宋" w:hAnsi="仿宋" w:eastAsia="仿宋" w:cs="仿宋"/>
          <w:bCs w:val="0"/>
          <w:color w:val="auto"/>
          <w:sz w:val="24"/>
          <w:szCs w:val="24"/>
          <w:highlight w:val="none"/>
          <w:lang w:val="en-US" w:eastAsia="zh-CN"/>
        </w:rPr>
        <w:t>9.为全面保障本校车服务项目运行期间全体乘车学生的人身安全、出行秩序，规范校车运营服务标准，压实中标人安全运营主体责任，本项目明确要求：中标人必须为每一趟运行校车车次单独配备至少一名专职随车管理员，实现“一车一管理员、全程专人值守”的安全管控模式，不得出现多人多车次轮岗代管、空岗缺岗、兼职顶替等情况，全面覆盖学生上下学、往返接送全流程安全管理工作。</w:t>
      </w:r>
    </w:p>
    <w:p w14:paraId="027A0C51">
      <w:pPr>
        <w:widowControl/>
        <w:snapToGrid w:val="0"/>
        <w:spacing w:line="360" w:lineRule="auto"/>
        <w:ind w:firstLine="480" w:firstLineChars="200"/>
        <w:jc w:val="left"/>
        <w:outlineLvl w:val="9"/>
        <w:rPr>
          <w:rFonts w:hint="eastAsia" w:ascii="仿宋" w:hAnsi="仿宋" w:eastAsia="仿宋" w:cs="仿宋"/>
          <w:bCs w:val="0"/>
          <w:color w:val="auto"/>
          <w:sz w:val="24"/>
          <w:szCs w:val="24"/>
          <w:highlight w:val="none"/>
          <w:lang w:val="en-US" w:eastAsia="zh-CN"/>
        </w:rPr>
      </w:pPr>
      <w:r>
        <w:rPr>
          <w:rFonts w:hint="eastAsia" w:ascii="仿宋" w:hAnsi="仿宋" w:eastAsia="仿宋" w:cs="仿宋"/>
          <w:bCs w:val="0"/>
          <w:color w:val="auto"/>
          <w:sz w:val="24"/>
          <w:szCs w:val="24"/>
          <w:highlight w:val="none"/>
          <w:lang w:val="en-US" w:eastAsia="zh-CN"/>
        </w:rPr>
        <w:t>随车管理员须全程在岗履职，覆盖校车发车前核查、行车途中看管、到站后交接的全部服务环节，具体工作职责包含但不限于：每日校车发车前，提前抵达指定乘车点位，核对当日乘车学生名单，排查学生携带物品安全隐患，严禁学生携带易燃易爆、尖锐危险、管制类物品及其他危及行车安全的物品上车；有序引导学生排队有序上车，协助学生稳妥落座、系好安全带，核查每一名学生的落座及防护情况，杜绝超员、占位、无防护乘车等问题。</w:t>
      </w:r>
    </w:p>
    <w:p w14:paraId="46C8D250">
      <w:pPr>
        <w:widowControl/>
        <w:snapToGrid w:val="0"/>
        <w:spacing w:line="360" w:lineRule="auto"/>
        <w:ind w:firstLine="480" w:firstLineChars="200"/>
        <w:jc w:val="left"/>
        <w:outlineLvl w:val="9"/>
        <w:rPr>
          <w:rFonts w:hint="eastAsia" w:ascii="仿宋" w:hAnsi="仿宋" w:eastAsia="仿宋" w:cs="仿宋"/>
          <w:bCs w:val="0"/>
          <w:color w:val="auto"/>
          <w:sz w:val="24"/>
          <w:szCs w:val="24"/>
          <w:highlight w:val="none"/>
          <w:lang w:val="en-US" w:eastAsia="zh-CN"/>
        </w:rPr>
      </w:pPr>
      <w:r>
        <w:rPr>
          <w:rFonts w:hint="eastAsia" w:ascii="仿宋" w:hAnsi="仿宋" w:eastAsia="仿宋" w:cs="仿宋"/>
          <w:bCs w:val="0"/>
          <w:color w:val="auto"/>
          <w:sz w:val="24"/>
          <w:szCs w:val="24"/>
          <w:highlight w:val="none"/>
          <w:lang w:val="en-US" w:eastAsia="zh-CN"/>
        </w:rPr>
        <w:t>在校车全程行驶过程中，管理员需全程专注看管学生，维持车内乘车秩序，及时制止学生打闹、站立、攀爬车窗、将头手伸出窗外、随意走动、嬉戏斗殴、大声喧哗等危险及不文明行为，耐心引导学生遵守乘车规范；密切关注车况、路况及学生身体、情绪状态，实时留意行车过程中的各类突发状况，主动配合校车驾驶员安全行车，不干扰驾驶员正常操作，及时提醒驾驶员规避行车风险，全程筑牢校车运行安全防线。</w:t>
      </w:r>
    </w:p>
    <w:p w14:paraId="297C8601">
      <w:pPr>
        <w:widowControl/>
        <w:snapToGrid w:val="0"/>
        <w:spacing w:line="360" w:lineRule="auto"/>
        <w:ind w:firstLine="480" w:firstLineChars="200"/>
        <w:jc w:val="left"/>
        <w:outlineLvl w:val="9"/>
        <w:rPr>
          <w:rFonts w:hint="eastAsia" w:ascii="仿宋" w:hAnsi="仿宋" w:eastAsia="仿宋" w:cs="仿宋"/>
          <w:bCs w:val="0"/>
          <w:color w:val="auto"/>
          <w:sz w:val="24"/>
          <w:szCs w:val="24"/>
          <w:highlight w:val="none"/>
          <w:lang w:val="en-US" w:eastAsia="zh-CN"/>
        </w:rPr>
      </w:pPr>
      <w:r>
        <w:rPr>
          <w:rFonts w:hint="eastAsia" w:ascii="仿宋" w:hAnsi="仿宋" w:eastAsia="仿宋" w:cs="仿宋"/>
          <w:bCs w:val="0"/>
          <w:color w:val="auto"/>
          <w:sz w:val="24"/>
          <w:szCs w:val="24"/>
          <w:highlight w:val="none"/>
          <w:lang w:val="en-US" w:eastAsia="zh-CN"/>
        </w:rPr>
        <w:t>校车抵达指定站点后，管理员需有序组织学生分批下车，逐一清点下车学生人数，确保乘车学生全部安全下车，无遗漏、无滞留；针对低年级、低龄学生，需重点做好一对一看护、交接工作，确认学生交由家长、学校指定对接人员或相关负责人妥善接管后方可离岗，杜绝学生独自滞留、走失等安全隐患。同时，管理员需每日做好乘车台账记录，详细登记乘车人数、异常情况、特殊学生状况等信息，留存备案备查，配合招标方及学校的日常安全检查、台账核查工作。</w:t>
      </w:r>
    </w:p>
    <w:p w14:paraId="3EEAECCC">
      <w:pPr>
        <w:widowControl/>
        <w:snapToGrid w:val="0"/>
        <w:spacing w:line="360" w:lineRule="auto"/>
        <w:ind w:firstLine="480" w:firstLineChars="200"/>
        <w:jc w:val="left"/>
        <w:outlineLvl w:val="9"/>
        <w:rPr>
          <w:rFonts w:hint="default" w:ascii="仿宋" w:hAnsi="仿宋" w:eastAsia="仿宋" w:cs="仿宋"/>
          <w:bCs w:val="0"/>
          <w:color w:val="auto"/>
          <w:sz w:val="24"/>
          <w:szCs w:val="24"/>
          <w:highlight w:val="none"/>
          <w:lang w:val="en-US" w:eastAsia="zh-CN"/>
        </w:rPr>
      </w:pPr>
      <w:r>
        <w:rPr>
          <w:rFonts w:hint="eastAsia" w:ascii="仿宋" w:hAnsi="仿宋" w:eastAsia="仿宋" w:cs="仿宋"/>
          <w:bCs w:val="0"/>
          <w:color w:val="auto"/>
          <w:sz w:val="24"/>
          <w:szCs w:val="24"/>
          <w:highlight w:val="none"/>
          <w:lang w:val="en-US" w:eastAsia="zh-CN"/>
        </w:rPr>
        <w:t>在校车运营全过程中（运营全过程是指：中标单位校车从各学校接到学生出发至送到家长手中整个时间段，或中标单位校车从家长手中接到学生出发至送到各学校整个时间段），凡是因校车运行、乘车管理、行车过程引发的各类意外情况，包含但不限于交通事故、学生人身磕碰摔伤、突发疾病、车内安全事故、秩序混乱引发的意外损伤、物品遗失损坏、行车途中突发故障处置不当导致的次生问题，以及因管理员脱岗、失职、履职不到位引发的一切安全隐患及事故、纠纷，全部由中标人承担全部责任。</w:t>
      </w:r>
    </w:p>
    <w:p w14:paraId="678BC597">
      <w:pPr>
        <w:widowControl/>
        <w:snapToGrid w:val="0"/>
        <w:spacing w:line="360" w:lineRule="auto"/>
        <w:ind w:firstLine="480" w:firstLineChars="200"/>
        <w:jc w:val="left"/>
        <w:outlineLvl w:val="9"/>
        <w:rPr>
          <w:rFonts w:hint="default"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10.驾驶员、</w:t>
      </w:r>
      <w:r>
        <w:rPr>
          <w:rFonts w:hint="eastAsia" w:ascii="仿宋" w:hAnsi="仿宋" w:eastAsia="仿宋" w:cs="仿宋"/>
          <w:bCs w:val="0"/>
          <w:color w:val="auto"/>
          <w:sz w:val="24"/>
          <w:szCs w:val="24"/>
          <w:highlight w:val="none"/>
          <w:lang w:val="en-US" w:eastAsia="zh-CN"/>
        </w:rPr>
        <w:t>随车管理员</w:t>
      </w:r>
      <w:r>
        <w:rPr>
          <w:rFonts w:hint="eastAsia" w:ascii="仿宋" w:hAnsi="仿宋" w:eastAsia="仿宋" w:cs="仿宋"/>
          <w:b w:val="0"/>
          <w:bCs w:val="0"/>
          <w:color w:val="auto"/>
          <w:kern w:val="2"/>
          <w:sz w:val="24"/>
          <w:szCs w:val="24"/>
          <w:highlight w:val="none"/>
          <w:lang w:val="en-US" w:eastAsia="zh-CN"/>
        </w:rPr>
        <w:t>必须有无犯罪证明且身体健康无传染病，驾驶员有相关校车驾驶资质，一旦身体不适立刻换人，不可带病上岗。</w:t>
      </w:r>
    </w:p>
    <w:p w14:paraId="182CBA34">
      <w:pPr>
        <w:snapToGrid w:val="0"/>
        <w:spacing w:line="360" w:lineRule="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五、承包方式：</w:t>
      </w:r>
    </w:p>
    <w:p w14:paraId="7A4876D5">
      <w:pPr>
        <w:snapToGrid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固定单价结算。（合同单价=预算单价*（1-优惠率））</w:t>
      </w:r>
    </w:p>
    <w:p w14:paraId="5743B2B4">
      <w:pPr>
        <w:snapToGrid w:val="0"/>
        <w:spacing w:line="360" w:lineRule="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六、报价要求：</w:t>
      </w:r>
    </w:p>
    <w:p w14:paraId="4BB32085">
      <w:pPr>
        <w:snapToGrid w:val="0"/>
        <w:spacing w:line="360" w:lineRule="auto"/>
        <w:ind w:firstLine="480" w:firstLineChars="200"/>
        <w:rPr>
          <w:rFonts w:hint="default" w:ascii="仿宋" w:hAnsi="仿宋" w:eastAsia="仿宋" w:cs="仿宋"/>
          <w:b/>
          <w:bCs/>
          <w:color w:val="auto"/>
          <w:sz w:val="24"/>
          <w:szCs w:val="24"/>
          <w:highlight w:val="none"/>
          <w:lang w:val="en-US" w:eastAsia="zh-CN"/>
        </w:rPr>
      </w:pPr>
      <w:r>
        <w:rPr>
          <w:rFonts w:hint="eastAsia" w:ascii="仿宋" w:hAnsi="仿宋" w:eastAsia="仿宋" w:cs="仿宋"/>
          <w:color w:val="auto"/>
          <w:sz w:val="24"/>
          <w:highlight w:val="none"/>
        </w:rPr>
        <w:t>本项目报价表上的价格为含税报价，</w:t>
      </w:r>
      <w:r>
        <w:rPr>
          <w:rFonts w:hint="eastAsia" w:ascii="仿宋" w:hAnsi="仿宋" w:eastAsia="仿宋" w:cs="仿宋"/>
          <w:color w:val="auto"/>
          <w:sz w:val="24"/>
          <w:szCs w:val="24"/>
          <w:highlight w:val="none"/>
        </w:rPr>
        <w:t>报价应包括但不限于招标文件及其基本技术要求范围内相应服务的提供</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none"/>
        </w:rPr>
        <w:t>接送车辆使用费、驾驶员、随车照管人员工资费用、油料费、车辆维护维修保养、车辆保险验审、管理、各种税费、政策性文件规定及合同包含的所有风险、责任等各项应有费用，</w:t>
      </w:r>
      <w:r>
        <w:rPr>
          <w:rFonts w:hint="eastAsia" w:ascii="仿宋" w:hAnsi="仿宋" w:eastAsia="仿宋" w:cs="仿宋"/>
          <w:color w:val="auto"/>
          <w:sz w:val="24"/>
          <w:szCs w:val="24"/>
          <w:highlight w:val="none"/>
        </w:rPr>
        <w:t>招标人不再支付其他任何费用。此外，除非合同条款中另有规定，否则，投标人所报价格在项目投标、合同实施期间不因市场变化等任何因素而变动。</w:t>
      </w:r>
    </w:p>
    <w:p w14:paraId="78CF7322">
      <w:pPr>
        <w:snapToGrid w:val="0"/>
        <w:spacing w:line="360" w:lineRule="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七、验收要求：</w:t>
      </w:r>
    </w:p>
    <w:p w14:paraId="6F9FA82A">
      <w:pPr>
        <w:snapToGrid w:val="0"/>
        <w:spacing w:line="360" w:lineRule="auto"/>
        <w:ind w:firstLine="480" w:firstLineChars="200"/>
        <w:rPr>
          <w:rFonts w:hint="eastAsia" w:ascii="仿宋" w:hAnsi="仿宋" w:eastAsia="仿宋" w:cs="仿宋"/>
          <w:i w:val="0"/>
          <w:iCs w:val="0"/>
          <w:caps w:val="0"/>
          <w:color w:val="auto"/>
          <w:spacing w:val="0"/>
          <w:sz w:val="24"/>
          <w:szCs w:val="24"/>
          <w:highlight w:val="none"/>
          <w:lang w:eastAsia="zh-CN"/>
        </w:rPr>
      </w:pPr>
      <w:r>
        <w:rPr>
          <w:rFonts w:hint="eastAsia" w:ascii="仿宋" w:hAnsi="仿宋" w:eastAsia="仿宋" w:cs="仿宋"/>
          <w:i w:val="0"/>
          <w:iCs w:val="0"/>
          <w:caps w:val="0"/>
          <w:color w:val="auto"/>
          <w:spacing w:val="0"/>
          <w:sz w:val="24"/>
          <w:szCs w:val="24"/>
          <w:highlight w:val="none"/>
          <w:lang w:eastAsia="zh-CN"/>
        </w:rPr>
        <w:t>满足招标文件服务要求、</w:t>
      </w:r>
      <w:r>
        <w:rPr>
          <w:rFonts w:hint="eastAsia" w:ascii="仿宋" w:hAnsi="仿宋" w:eastAsia="仿宋" w:cs="仿宋"/>
          <w:i w:val="0"/>
          <w:iCs w:val="0"/>
          <w:caps w:val="0"/>
          <w:color w:val="auto"/>
          <w:spacing w:val="0"/>
          <w:sz w:val="24"/>
          <w:szCs w:val="24"/>
          <w:highlight w:val="none"/>
        </w:rPr>
        <w:t>中华人民共和国国务院令第617号《校车安全管理条例》</w:t>
      </w:r>
      <w:r>
        <w:rPr>
          <w:rFonts w:hint="eastAsia" w:ascii="仿宋" w:hAnsi="仿宋" w:eastAsia="仿宋" w:cs="仿宋"/>
          <w:i w:val="0"/>
          <w:iCs w:val="0"/>
          <w:caps w:val="0"/>
          <w:color w:val="auto"/>
          <w:spacing w:val="0"/>
          <w:sz w:val="24"/>
          <w:szCs w:val="24"/>
          <w:highlight w:val="none"/>
          <w:lang w:eastAsia="zh-CN"/>
        </w:rPr>
        <w:t>相关要求及其他</w:t>
      </w:r>
      <w:r>
        <w:rPr>
          <w:rFonts w:hint="eastAsia" w:ascii="仿宋" w:hAnsi="仿宋" w:eastAsia="仿宋" w:cs="仿宋"/>
          <w:color w:val="auto"/>
          <w:sz w:val="24"/>
          <w:szCs w:val="24"/>
          <w:highlight w:val="none"/>
          <w:u w:val="none"/>
        </w:rPr>
        <w:t>国家行业</w:t>
      </w:r>
      <w:r>
        <w:rPr>
          <w:rFonts w:hint="eastAsia" w:ascii="仿宋" w:hAnsi="仿宋" w:eastAsia="仿宋" w:cs="仿宋"/>
          <w:color w:val="auto"/>
          <w:sz w:val="24"/>
          <w:szCs w:val="24"/>
          <w:highlight w:val="none"/>
          <w:u w:val="none"/>
          <w:lang w:eastAsia="zh-CN"/>
        </w:rPr>
        <w:t>相关</w:t>
      </w:r>
      <w:r>
        <w:rPr>
          <w:rFonts w:hint="eastAsia" w:ascii="仿宋" w:hAnsi="仿宋" w:eastAsia="仿宋" w:cs="仿宋"/>
          <w:color w:val="auto"/>
          <w:sz w:val="24"/>
          <w:szCs w:val="24"/>
          <w:highlight w:val="none"/>
          <w:u w:val="none"/>
          <w:lang w:val="en-US" w:eastAsia="zh-CN"/>
        </w:rPr>
        <w:t>最新</w:t>
      </w:r>
      <w:r>
        <w:rPr>
          <w:rFonts w:hint="eastAsia" w:ascii="仿宋" w:hAnsi="仿宋" w:eastAsia="仿宋" w:cs="仿宋"/>
          <w:color w:val="auto"/>
          <w:sz w:val="24"/>
          <w:szCs w:val="24"/>
          <w:highlight w:val="none"/>
          <w:u w:val="none"/>
        </w:rPr>
        <w:t>标准</w:t>
      </w:r>
      <w:r>
        <w:rPr>
          <w:rFonts w:hint="eastAsia" w:ascii="仿宋" w:hAnsi="仿宋" w:eastAsia="仿宋" w:cs="仿宋"/>
          <w:i w:val="0"/>
          <w:iCs w:val="0"/>
          <w:caps w:val="0"/>
          <w:color w:val="auto"/>
          <w:spacing w:val="0"/>
          <w:sz w:val="24"/>
          <w:szCs w:val="24"/>
          <w:highlight w:val="none"/>
          <w:lang w:eastAsia="zh-CN"/>
        </w:rPr>
        <w:t>。</w:t>
      </w:r>
    </w:p>
    <w:p w14:paraId="5EEA2B9F">
      <w:pPr>
        <w:snapToGrid w:val="0"/>
        <w:spacing w:line="360" w:lineRule="auto"/>
        <w:ind w:firstLine="0" w:firstLineChars="0"/>
        <w:rPr>
          <w:rFonts w:hint="eastAsia" w:ascii="仿宋" w:hAnsi="仿宋" w:eastAsia="仿宋" w:cs="仿宋"/>
          <w:i w:val="0"/>
          <w:iCs w:val="0"/>
          <w:caps w:val="0"/>
          <w:color w:val="auto"/>
          <w:spacing w:val="0"/>
          <w:sz w:val="24"/>
          <w:szCs w:val="24"/>
          <w:highlight w:val="none"/>
          <w:lang w:eastAsia="zh-CN"/>
        </w:rPr>
      </w:pPr>
      <w:r>
        <w:rPr>
          <w:rFonts w:hint="eastAsia" w:ascii="仿宋" w:hAnsi="仿宋" w:eastAsia="仿宋" w:cs="仿宋"/>
          <w:b/>
          <w:bCs/>
          <w:color w:val="auto"/>
          <w:kern w:val="0"/>
          <w:sz w:val="32"/>
          <w:szCs w:val="32"/>
          <w:highlight w:val="none"/>
          <w:lang w:val="en-US" w:eastAsia="zh-CN"/>
        </w:rPr>
        <w:t>八、考核要求：</w:t>
      </w:r>
    </w:p>
    <w:tbl>
      <w:tblPr>
        <w:tblStyle w:val="3"/>
        <w:tblW w:w="9806" w:type="dxa"/>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1496"/>
        <w:gridCol w:w="979"/>
        <w:gridCol w:w="2989"/>
        <w:gridCol w:w="3091"/>
      </w:tblGrid>
      <w:tr w14:paraId="5482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251" w:type="dxa"/>
            <w:noWrap w:val="0"/>
            <w:vAlign w:val="center"/>
          </w:tcPr>
          <w:p w14:paraId="5B74A73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验收分类</w:t>
            </w:r>
          </w:p>
        </w:tc>
        <w:tc>
          <w:tcPr>
            <w:tcW w:w="1496" w:type="dxa"/>
            <w:noWrap w:val="0"/>
            <w:vAlign w:val="center"/>
          </w:tcPr>
          <w:p w14:paraId="35D4584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验收项目</w:t>
            </w:r>
          </w:p>
        </w:tc>
        <w:tc>
          <w:tcPr>
            <w:tcW w:w="979" w:type="dxa"/>
            <w:noWrap w:val="0"/>
            <w:vAlign w:val="center"/>
          </w:tcPr>
          <w:p w14:paraId="22D5982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分值</w:t>
            </w:r>
          </w:p>
        </w:tc>
        <w:tc>
          <w:tcPr>
            <w:tcW w:w="2989" w:type="dxa"/>
            <w:noWrap w:val="0"/>
            <w:vAlign w:val="center"/>
          </w:tcPr>
          <w:p w14:paraId="342EE1D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评分标准</w:t>
            </w:r>
          </w:p>
        </w:tc>
        <w:tc>
          <w:tcPr>
            <w:tcW w:w="3091" w:type="dxa"/>
            <w:noWrap w:val="0"/>
            <w:vAlign w:val="center"/>
          </w:tcPr>
          <w:p w14:paraId="7261D28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扣分 / 赔偿标准</w:t>
            </w:r>
          </w:p>
        </w:tc>
      </w:tr>
      <w:tr w14:paraId="74E2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251" w:type="dxa"/>
            <w:vMerge w:val="restart"/>
            <w:noWrap w:val="0"/>
            <w:vAlign w:val="center"/>
          </w:tcPr>
          <w:p w14:paraId="14D84D4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运行服务</w:t>
            </w:r>
          </w:p>
        </w:tc>
        <w:tc>
          <w:tcPr>
            <w:tcW w:w="1496" w:type="dxa"/>
            <w:noWrap w:val="0"/>
            <w:vAlign w:val="center"/>
          </w:tcPr>
          <w:p w14:paraId="7ECDBE1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准点运行</w:t>
            </w:r>
          </w:p>
        </w:tc>
        <w:tc>
          <w:tcPr>
            <w:tcW w:w="979" w:type="dxa"/>
            <w:noWrap w:val="0"/>
            <w:vAlign w:val="center"/>
          </w:tcPr>
          <w:p w14:paraId="0813237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2989" w:type="dxa"/>
            <w:noWrap w:val="0"/>
            <w:vAlign w:val="center"/>
          </w:tcPr>
          <w:p w14:paraId="738394DF">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按核定时间到站，不误点、不甩客、不脱班</w:t>
            </w:r>
          </w:p>
        </w:tc>
        <w:tc>
          <w:tcPr>
            <w:tcW w:w="3091" w:type="dxa"/>
            <w:noWrap w:val="0"/>
            <w:vAlign w:val="center"/>
          </w:tcPr>
          <w:p w14:paraId="064C81CA">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延误≥10 分钟：扣 2 分 / 次；脱班：扣 10分 / 次，赔偿 500 元 / 次</w:t>
            </w:r>
          </w:p>
        </w:tc>
      </w:tr>
      <w:tr w14:paraId="41FF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251" w:type="dxa"/>
            <w:vMerge w:val="continue"/>
            <w:noWrap w:val="0"/>
            <w:vAlign w:val="center"/>
          </w:tcPr>
          <w:p w14:paraId="63052105">
            <w:pPr>
              <w:jc w:val="center"/>
              <w:rPr>
                <w:rFonts w:hint="eastAsia" w:ascii="仿宋" w:hAnsi="仿宋" w:eastAsia="仿宋" w:cs="仿宋"/>
                <w:i w:val="0"/>
                <w:iCs w:val="0"/>
                <w:color w:val="auto"/>
                <w:sz w:val="24"/>
                <w:szCs w:val="24"/>
                <w:highlight w:val="none"/>
                <w:u w:val="none"/>
              </w:rPr>
            </w:pPr>
          </w:p>
        </w:tc>
        <w:tc>
          <w:tcPr>
            <w:tcW w:w="1496" w:type="dxa"/>
            <w:noWrap w:val="0"/>
            <w:vAlign w:val="center"/>
          </w:tcPr>
          <w:p w14:paraId="524D2D6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定线定点</w:t>
            </w:r>
          </w:p>
        </w:tc>
        <w:tc>
          <w:tcPr>
            <w:tcW w:w="979" w:type="dxa"/>
            <w:noWrap w:val="0"/>
            <w:vAlign w:val="center"/>
          </w:tcPr>
          <w:p w14:paraId="1BEB647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2989" w:type="dxa"/>
            <w:noWrap w:val="0"/>
            <w:vAlign w:val="center"/>
          </w:tcPr>
          <w:p w14:paraId="660D16F1">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不擅自改线、改点、绕道、加塞</w:t>
            </w:r>
          </w:p>
        </w:tc>
        <w:tc>
          <w:tcPr>
            <w:tcW w:w="3091" w:type="dxa"/>
            <w:noWrap w:val="0"/>
            <w:vAlign w:val="center"/>
          </w:tcPr>
          <w:p w14:paraId="07C70EE7">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擅自变更：扣 5 分 / 次，赔偿 1000 元 / 次，立即纠正</w:t>
            </w:r>
          </w:p>
        </w:tc>
      </w:tr>
      <w:tr w14:paraId="37FE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251" w:type="dxa"/>
            <w:vMerge w:val="continue"/>
            <w:noWrap w:val="0"/>
            <w:vAlign w:val="center"/>
          </w:tcPr>
          <w:p w14:paraId="43BD676F">
            <w:pPr>
              <w:jc w:val="center"/>
              <w:rPr>
                <w:rFonts w:hint="eastAsia" w:ascii="仿宋" w:hAnsi="仿宋" w:eastAsia="仿宋" w:cs="仿宋"/>
                <w:i w:val="0"/>
                <w:iCs w:val="0"/>
                <w:color w:val="auto"/>
                <w:sz w:val="24"/>
                <w:szCs w:val="24"/>
                <w:highlight w:val="none"/>
                <w:u w:val="none"/>
              </w:rPr>
            </w:pPr>
          </w:p>
        </w:tc>
        <w:tc>
          <w:tcPr>
            <w:tcW w:w="1496" w:type="dxa"/>
            <w:noWrap w:val="0"/>
            <w:vAlign w:val="center"/>
          </w:tcPr>
          <w:p w14:paraId="39DB234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乘车秩序</w:t>
            </w:r>
          </w:p>
        </w:tc>
        <w:tc>
          <w:tcPr>
            <w:tcW w:w="979" w:type="dxa"/>
            <w:noWrap w:val="0"/>
            <w:vAlign w:val="center"/>
          </w:tcPr>
          <w:p w14:paraId="791FC8B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989" w:type="dxa"/>
            <w:noWrap w:val="0"/>
            <w:vAlign w:val="center"/>
          </w:tcPr>
          <w:p w14:paraId="4BDF814F">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一人一座、全程看护、点名核对、安全带全覆盖</w:t>
            </w:r>
          </w:p>
        </w:tc>
        <w:tc>
          <w:tcPr>
            <w:tcW w:w="3091" w:type="dxa"/>
            <w:noWrap w:val="0"/>
            <w:vAlign w:val="center"/>
          </w:tcPr>
          <w:p w14:paraId="4184C520">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超员 / 漏人 / 未系安全带：扣 5 分 / 次，赔偿 2000 元 / 次</w:t>
            </w:r>
          </w:p>
        </w:tc>
      </w:tr>
      <w:tr w14:paraId="32D4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251" w:type="dxa"/>
            <w:vMerge w:val="restart"/>
            <w:noWrap w:val="0"/>
            <w:vAlign w:val="center"/>
          </w:tcPr>
          <w:p w14:paraId="5E5B51A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车辆与维保</w:t>
            </w:r>
          </w:p>
        </w:tc>
        <w:tc>
          <w:tcPr>
            <w:tcW w:w="1496" w:type="dxa"/>
            <w:noWrap w:val="0"/>
            <w:vAlign w:val="center"/>
          </w:tcPr>
          <w:p w14:paraId="09AAC1C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车况与整洁</w:t>
            </w:r>
          </w:p>
        </w:tc>
        <w:tc>
          <w:tcPr>
            <w:tcW w:w="979" w:type="dxa"/>
            <w:noWrap w:val="0"/>
            <w:vAlign w:val="center"/>
          </w:tcPr>
          <w:p w14:paraId="15851F6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989" w:type="dxa"/>
            <w:noWrap w:val="0"/>
            <w:vAlign w:val="center"/>
          </w:tcPr>
          <w:p w14:paraId="40867662">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车辆完好、内外清洁、无异味、空调正常、定期消杀</w:t>
            </w:r>
          </w:p>
        </w:tc>
        <w:tc>
          <w:tcPr>
            <w:tcW w:w="3091" w:type="dxa"/>
            <w:noWrap w:val="0"/>
            <w:vAlign w:val="center"/>
          </w:tcPr>
          <w:p w14:paraId="7D70899A">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脏乱 / 故障：扣 2 分 / 次；影响运行：扣 5 分 / 次</w:t>
            </w:r>
          </w:p>
        </w:tc>
      </w:tr>
      <w:tr w14:paraId="443E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251" w:type="dxa"/>
            <w:vMerge w:val="continue"/>
            <w:noWrap w:val="0"/>
            <w:vAlign w:val="center"/>
          </w:tcPr>
          <w:p w14:paraId="2A4317C7">
            <w:pPr>
              <w:jc w:val="center"/>
              <w:rPr>
                <w:rFonts w:hint="eastAsia" w:ascii="仿宋" w:hAnsi="仿宋" w:eastAsia="仿宋" w:cs="仿宋"/>
                <w:i w:val="0"/>
                <w:iCs w:val="0"/>
                <w:color w:val="auto"/>
                <w:sz w:val="24"/>
                <w:szCs w:val="24"/>
                <w:highlight w:val="none"/>
                <w:u w:val="none"/>
              </w:rPr>
            </w:pPr>
          </w:p>
        </w:tc>
        <w:tc>
          <w:tcPr>
            <w:tcW w:w="1496" w:type="dxa"/>
            <w:noWrap w:val="0"/>
            <w:vAlign w:val="center"/>
          </w:tcPr>
          <w:p w14:paraId="35FA531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维保与安检</w:t>
            </w:r>
          </w:p>
        </w:tc>
        <w:tc>
          <w:tcPr>
            <w:tcW w:w="979" w:type="dxa"/>
            <w:noWrap w:val="0"/>
            <w:vAlign w:val="center"/>
          </w:tcPr>
          <w:p w14:paraId="76D282E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2989" w:type="dxa"/>
            <w:noWrap w:val="0"/>
            <w:vAlign w:val="center"/>
          </w:tcPr>
          <w:p w14:paraId="6D56064D">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每日晨检、月度维保、一车一档完整</w:t>
            </w:r>
          </w:p>
        </w:tc>
        <w:tc>
          <w:tcPr>
            <w:tcW w:w="3091" w:type="dxa"/>
            <w:noWrap w:val="0"/>
            <w:vAlign w:val="center"/>
          </w:tcPr>
          <w:p w14:paraId="0D15E048">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无记录 / 漏检：扣 4 分 / 次；带病运行：本项 0 分</w:t>
            </w:r>
          </w:p>
        </w:tc>
      </w:tr>
      <w:tr w14:paraId="2183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51" w:type="dxa"/>
            <w:vMerge w:val="restart"/>
            <w:noWrap w:val="0"/>
            <w:vAlign w:val="center"/>
          </w:tcPr>
          <w:p w14:paraId="133201D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人员服务</w:t>
            </w:r>
          </w:p>
        </w:tc>
        <w:tc>
          <w:tcPr>
            <w:tcW w:w="1496" w:type="dxa"/>
            <w:noWrap w:val="0"/>
            <w:vAlign w:val="center"/>
          </w:tcPr>
          <w:p w14:paraId="661D7BC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服务规范</w:t>
            </w:r>
          </w:p>
        </w:tc>
        <w:tc>
          <w:tcPr>
            <w:tcW w:w="979" w:type="dxa"/>
            <w:noWrap w:val="0"/>
            <w:vAlign w:val="center"/>
          </w:tcPr>
          <w:p w14:paraId="7EF7569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2989" w:type="dxa"/>
            <w:noWrap w:val="0"/>
            <w:vAlign w:val="center"/>
          </w:tcPr>
          <w:p w14:paraId="3A3CD343">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着装统一、文明用语、服从管理、不训斥学生</w:t>
            </w:r>
          </w:p>
        </w:tc>
        <w:tc>
          <w:tcPr>
            <w:tcW w:w="3091" w:type="dxa"/>
            <w:noWrap w:val="0"/>
            <w:vAlign w:val="center"/>
          </w:tcPr>
          <w:p w14:paraId="2EB7E9A9">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投诉属实：扣 2 分 / 次；态度恶劣：扣 5 分 / 次</w:t>
            </w:r>
          </w:p>
        </w:tc>
      </w:tr>
      <w:tr w14:paraId="1BBB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251" w:type="dxa"/>
            <w:vMerge w:val="continue"/>
            <w:noWrap w:val="0"/>
            <w:vAlign w:val="center"/>
          </w:tcPr>
          <w:p w14:paraId="5AB67970">
            <w:pPr>
              <w:jc w:val="center"/>
              <w:rPr>
                <w:rFonts w:hint="eastAsia" w:ascii="仿宋" w:hAnsi="仿宋" w:eastAsia="仿宋" w:cs="仿宋"/>
                <w:i w:val="0"/>
                <w:iCs w:val="0"/>
                <w:color w:val="auto"/>
                <w:sz w:val="24"/>
                <w:szCs w:val="24"/>
                <w:highlight w:val="none"/>
                <w:u w:val="none"/>
              </w:rPr>
            </w:pPr>
          </w:p>
        </w:tc>
        <w:tc>
          <w:tcPr>
            <w:tcW w:w="1496" w:type="dxa"/>
            <w:noWrap w:val="0"/>
            <w:vAlign w:val="center"/>
          </w:tcPr>
          <w:p w14:paraId="0959ADE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照管履职</w:t>
            </w:r>
          </w:p>
        </w:tc>
        <w:tc>
          <w:tcPr>
            <w:tcW w:w="979" w:type="dxa"/>
            <w:noWrap w:val="0"/>
            <w:vAlign w:val="center"/>
          </w:tcPr>
          <w:p w14:paraId="4697C1C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989" w:type="dxa"/>
            <w:noWrap w:val="0"/>
            <w:vAlign w:val="center"/>
          </w:tcPr>
          <w:p w14:paraId="7DE0E5FA">
            <w:pPr>
              <w:keepNext w:val="0"/>
              <w:keepLines w:val="0"/>
              <w:widowControl/>
              <w:suppressLineNumbers w:val="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照管员在岗、点名、看护、信息对接及时,制止学生在车上追逐打闹</w:t>
            </w:r>
          </w:p>
        </w:tc>
        <w:tc>
          <w:tcPr>
            <w:tcW w:w="3091" w:type="dxa"/>
            <w:noWrap w:val="0"/>
            <w:vAlign w:val="center"/>
          </w:tcPr>
          <w:p w14:paraId="3209FA0D">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脱岗 / 失职/：扣 3 分 / 次</w:t>
            </w:r>
          </w:p>
        </w:tc>
      </w:tr>
      <w:tr w14:paraId="49B1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251" w:type="dxa"/>
            <w:vMerge w:val="restart"/>
            <w:noWrap w:val="0"/>
            <w:vAlign w:val="center"/>
          </w:tcPr>
          <w:p w14:paraId="029D00E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应急与台账</w:t>
            </w:r>
          </w:p>
        </w:tc>
        <w:tc>
          <w:tcPr>
            <w:tcW w:w="1496" w:type="dxa"/>
            <w:noWrap w:val="0"/>
            <w:vAlign w:val="center"/>
          </w:tcPr>
          <w:p w14:paraId="583E00C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应急处置</w:t>
            </w:r>
          </w:p>
        </w:tc>
        <w:tc>
          <w:tcPr>
            <w:tcW w:w="979" w:type="dxa"/>
            <w:noWrap w:val="0"/>
            <w:vAlign w:val="center"/>
          </w:tcPr>
          <w:p w14:paraId="5EB370C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w:t>
            </w:r>
          </w:p>
        </w:tc>
        <w:tc>
          <w:tcPr>
            <w:tcW w:w="2989" w:type="dxa"/>
            <w:noWrap w:val="0"/>
            <w:vAlign w:val="center"/>
          </w:tcPr>
          <w:p w14:paraId="4FF00537">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故障 / 事故及时上报、处置规范、备用车到位</w:t>
            </w:r>
          </w:p>
        </w:tc>
        <w:tc>
          <w:tcPr>
            <w:tcW w:w="3091" w:type="dxa"/>
            <w:noWrap w:val="0"/>
            <w:vAlign w:val="center"/>
          </w:tcPr>
          <w:p w14:paraId="66BE5C8C">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迟报 / 瞒报：扣 3 分 / 次，赔偿 1000 元 / 次</w:t>
            </w:r>
          </w:p>
        </w:tc>
      </w:tr>
      <w:tr w14:paraId="7BE1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251" w:type="dxa"/>
            <w:vMerge w:val="continue"/>
            <w:noWrap w:val="0"/>
            <w:vAlign w:val="center"/>
          </w:tcPr>
          <w:p w14:paraId="61CEE8DE">
            <w:pPr>
              <w:jc w:val="center"/>
              <w:rPr>
                <w:rFonts w:hint="eastAsia" w:ascii="仿宋" w:hAnsi="仿宋" w:eastAsia="仿宋" w:cs="仿宋"/>
                <w:i w:val="0"/>
                <w:iCs w:val="0"/>
                <w:color w:val="auto"/>
                <w:sz w:val="24"/>
                <w:szCs w:val="24"/>
                <w:highlight w:val="none"/>
                <w:u w:val="none"/>
              </w:rPr>
            </w:pPr>
          </w:p>
        </w:tc>
        <w:tc>
          <w:tcPr>
            <w:tcW w:w="1496" w:type="dxa"/>
            <w:noWrap w:val="0"/>
            <w:vAlign w:val="center"/>
          </w:tcPr>
          <w:p w14:paraId="2B5310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台账资料</w:t>
            </w:r>
          </w:p>
        </w:tc>
        <w:tc>
          <w:tcPr>
            <w:tcW w:w="979" w:type="dxa"/>
            <w:noWrap w:val="0"/>
            <w:vAlign w:val="center"/>
          </w:tcPr>
          <w:p w14:paraId="7CB14F1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2989" w:type="dxa"/>
            <w:noWrap w:val="0"/>
            <w:vAlign w:val="center"/>
          </w:tcPr>
          <w:p w14:paraId="1258656A">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运行、维保、违章、培训、监控记录完整</w:t>
            </w:r>
          </w:p>
        </w:tc>
        <w:tc>
          <w:tcPr>
            <w:tcW w:w="3091" w:type="dxa"/>
            <w:noWrap w:val="0"/>
            <w:vAlign w:val="center"/>
          </w:tcPr>
          <w:p w14:paraId="2223E216">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缺失 / 造假：扣 2 分 / 次</w:t>
            </w:r>
          </w:p>
        </w:tc>
      </w:tr>
    </w:tbl>
    <w:p w14:paraId="24BA27FD">
      <w:pPr>
        <w:keepNext w:val="0"/>
        <w:keepLines w:val="0"/>
        <w:widowControl/>
        <w:numPr>
          <w:ilvl w:val="0"/>
          <w:numId w:val="0"/>
        </w:numPr>
        <w:suppressLineNumbers w:val="0"/>
        <w:tabs>
          <w:tab w:val="left" w:pos="720"/>
        </w:tabs>
        <w:snapToGrid w:val="0"/>
        <w:spacing w:before="0" w:beforeAutospacing="0" w:after="0" w:afterAutospacing="0" w:line="360" w:lineRule="auto"/>
        <w:ind w:left="0" w:firstLine="0" w:firstLineChars="0"/>
        <w:rPr>
          <w:rStyle w:val="5"/>
          <w:rFonts w:hint="eastAsia" w:ascii="仿宋" w:hAnsi="仿宋" w:eastAsia="仿宋" w:cs="仿宋"/>
          <w:b w:val="0"/>
          <w:bCs w:val="0"/>
          <w:color w:val="auto"/>
          <w:sz w:val="24"/>
          <w:highlight w:val="none"/>
          <w:lang w:val="en-US" w:eastAsia="zh-CN"/>
        </w:rPr>
      </w:pPr>
    </w:p>
    <w:p w14:paraId="73BBB2C3">
      <w:pPr>
        <w:keepNext w:val="0"/>
        <w:keepLines w:val="0"/>
        <w:widowControl/>
        <w:numPr>
          <w:ilvl w:val="0"/>
          <w:numId w:val="0"/>
        </w:numPr>
        <w:suppressLineNumbers w:val="0"/>
        <w:tabs>
          <w:tab w:val="left" w:pos="720"/>
        </w:tabs>
        <w:snapToGrid w:val="0"/>
        <w:spacing w:before="0" w:beforeAutospacing="0" w:after="0" w:afterAutospacing="0" w:line="360" w:lineRule="auto"/>
        <w:ind w:left="0" w:firstLine="0" w:firstLineChars="0"/>
        <w:rPr>
          <w:rFonts w:hint="eastAsia" w:ascii="仿宋" w:hAnsi="仿宋" w:eastAsia="仿宋" w:cs="仿宋"/>
          <w:b w:val="0"/>
          <w:bCs w:val="0"/>
          <w:color w:val="auto"/>
          <w:sz w:val="24"/>
          <w:highlight w:val="none"/>
        </w:rPr>
      </w:pPr>
      <w:r>
        <w:rPr>
          <w:rStyle w:val="5"/>
          <w:rFonts w:hint="eastAsia" w:ascii="仿宋" w:hAnsi="仿宋" w:eastAsia="仿宋" w:cs="仿宋"/>
          <w:b w:val="0"/>
          <w:bCs w:val="0"/>
          <w:color w:val="auto"/>
          <w:sz w:val="24"/>
          <w:highlight w:val="none"/>
          <w:lang w:val="en-US" w:eastAsia="zh-CN"/>
        </w:rPr>
        <w:t>1.</w:t>
      </w:r>
      <w:r>
        <w:rPr>
          <w:rStyle w:val="5"/>
          <w:rFonts w:hint="eastAsia" w:ascii="仿宋" w:hAnsi="仿宋" w:eastAsia="仿宋" w:cs="仿宋"/>
          <w:b w:val="0"/>
          <w:bCs w:val="0"/>
          <w:color w:val="auto"/>
          <w:sz w:val="24"/>
          <w:highlight w:val="none"/>
        </w:rPr>
        <w:t>等级判定</w:t>
      </w:r>
    </w:p>
    <w:p w14:paraId="53FAF625">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优秀：95-100 分，</w:t>
      </w:r>
      <w:r>
        <w:rPr>
          <w:rFonts w:hint="eastAsia" w:ascii="仿宋" w:hAnsi="仿宋" w:eastAsia="仿宋" w:cs="仿宋"/>
          <w:b w:val="0"/>
          <w:bCs w:val="0"/>
          <w:color w:val="auto"/>
          <w:sz w:val="24"/>
          <w:highlight w:val="none"/>
          <w:lang w:val="en-US" w:eastAsia="zh-CN"/>
        </w:rPr>
        <w:t>退回罚款（如有），</w:t>
      </w:r>
      <w:r>
        <w:rPr>
          <w:rFonts w:hint="eastAsia" w:ascii="仿宋" w:hAnsi="仿宋" w:eastAsia="仿宋" w:cs="仿宋"/>
          <w:b w:val="0"/>
          <w:bCs w:val="0"/>
          <w:color w:val="auto"/>
          <w:sz w:val="24"/>
          <w:highlight w:val="none"/>
        </w:rPr>
        <w:t>全额支付服务费</w:t>
      </w:r>
      <w:r>
        <w:rPr>
          <w:rFonts w:hint="eastAsia" w:ascii="仿宋" w:hAnsi="仿宋" w:eastAsia="仿宋" w:cs="仿宋"/>
          <w:b w:val="0"/>
          <w:bCs w:val="0"/>
          <w:color w:val="auto"/>
          <w:sz w:val="24"/>
          <w:highlight w:val="none"/>
          <w:lang w:eastAsia="zh-CN"/>
        </w:rPr>
        <w:t>。</w:t>
      </w:r>
    </w:p>
    <w:p w14:paraId="33CB0F0C">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合格：</w:t>
      </w:r>
      <w:r>
        <w:rPr>
          <w:rFonts w:hint="eastAsia" w:ascii="仿宋" w:hAnsi="仿宋" w:eastAsia="仿宋" w:cs="仿宋"/>
          <w:b w:val="0"/>
          <w:bCs w:val="0"/>
          <w:color w:val="auto"/>
          <w:sz w:val="24"/>
          <w:highlight w:val="none"/>
          <w:lang w:eastAsia="zh-CN"/>
        </w:rPr>
        <w:t>9</w:t>
      </w:r>
      <w:r>
        <w:rPr>
          <w:rFonts w:hint="eastAsia" w:ascii="仿宋" w:hAnsi="仿宋" w:eastAsia="仿宋" w:cs="仿宋"/>
          <w:b w:val="0"/>
          <w:bCs w:val="0"/>
          <w:color w:val="auto"/>
          <w:sz w:val="24"/>
          <w:highlight w:val="none"/>
          <w:lang w:val="en-US" w:eastAsia="zh-CN"/>
        </w:rPr>
        <w:t>0</w:t>
      </w:r>
      <w:r>
        <w:rPr>
          <w:rFonts w:hint="eastAsia" w:ascii="仿宋" w:hAnsi="仿宋" w:eastAsia="仿宋" w:cs="仿宋"/>
          <w:b w:val="0"/>
          <w:bCs w:val="0"/>
          <w:color w:val="auto"/>
          <w:sz w:val="24"/>
          <w:highlight w:val="none"/>
        </w:rPr>
        <w:t>-94 分，全额支付服务费</w:t>
      </w:r>
      <w:r>
        <w:rPr>
          <w:rFonts w:hint="eastAsia" w:ascii="仿宋" w:hAnsi="仿宋" w:eastAsia="仿宋" w:cs="仿宋"/>
          <w:b w:val="0"/>
          <w:bCs w:val="0"/>
          <w:color w:val="auto"/>
          <w:sz w:val="24"/>
          <w:highlight w:val="none"/>
          <w:lang w:eastAsia="zh-CN"/>
        </w:rPr>
        <w:t>。</w:t>
      </w:r>
    </w:p>
    <w:p w14:paraId="48524AEF">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基本合格：</w:t>
      </w:r>
      <w:r>
        <w:rPr>
          <w:rFonts w:hint="eastAsia" w:ascii="仿宋" w:hAnsi="仿宋" w:eastAsia="仿宋" w:cs="仿宋"/>
          <w:b w:val="0"/>
          <w:bCs w:val="0"/>
          <w:color w:val="auto"/>
          <w:sz w:val="24"/>
          <w:highlight w:val="none"/>
          <w:lang w:eastAsia="zh-CN"/>
        </w:rPr>
        <w:t>8</w:t>
      </w:r>
      <w:r>
        <w:rPr>
          <w:rFonts w:hint="eastAsia" w:ascii="仿宋" w:hAnsi="仿宋" w:eastAsia="仿宋" w:cs="仿宋"/>
          <w:b w:val="0"/>
          <w:bCs w:val="0"/>
          <w:color w:val="auto"/>
          <w:sz w:val="24"/>
          <w:highlight w:val="none"/>
          <w:lang w:val="en-US" w:eastAsia="zh-CN"/>
        </w:rPr>
        <w:t>0</w:t>
      </w:r>
      <w:r>
        <w:rPr>
          <w:rFonts w:hint="eastAsia" w:ascii="仿宋" w:hAnsi="仿宋" w:eastAsia="仿宋" w:cs="仿宋"/>
          <w:b w:val="0"/>
          <w:bCs w:val="0"/>
          <w:color w:val="auto"/>
          <w:sz w:val="24"/>
          <w:highlight w:val="none"/>
        </w:rPr>
        <w:t>-</w:t>
      </w:r>
      <w:r>
        <w:rPr>
          <w:rFonts w:hint="eastAsia" w:ascii="仿宋" w:hAnsi="仿宋" w:eastAsia="仿宋" w:cs="仿宋"/>
          <w:b w:val="0"/>
          <w:bCs w:val="0"/>
          <w:color w:val="auto"/>
          <w:sz w:val="24"/>
          <w:highlight w:val="none"/>
          <w:lang w:eastAsia="zh-CN"/>
        </w:rPr>
        <w:t>8</w:t>
      </w:r>
      <w:r>
        <w:rPr>
          <w:rFonts w:hint="eastAsia" w:ascii="仿宋" w:hAnsi="仿宋" w:eastAsia="仿宋" w:cs="仿宋"/>
          <w:b w:val="0"/>
          <w:bCs w:val="0"/>
          <w:color w:val="auto"/>
          <w:sz w:val="24"/>
          <w:highlight w:val="none"/>
          <w:lang w:val="en-US" w:eastAsia="zh-CN"/>
        </w:rPr>
        <w:t>9</w:t>
      </w:r>
      <w:r>
        <w:rPr>
          <w:rFonts w:hint="eastAsia" w:ascii="仿宋" w:hAnsi="仿宋" w:eastAsia="仿宋" w:cs="仿宋"/>
          <w:b w:val="0"/>
          <w:bCs w:val="0"/>
          <w:color w:val="auto"/>
          <w:sz w:val="24"/>
          <w:highlight w:val="none"/>
        </w:rPr>
        <w:t xml:space="preserve"> 分，按</w:t>
      </w:r>
      <w:r>
        <w:rPr>
          <w:rStyle w:val="5"/>
          <w:rFonts w:hint="eastAsia" w:ascii="仿宋" w:hAnsi="仿宋" w:eastAsia="仿宋" w:cs="仿宋"/>
          <w:b w:val="0"/>
          <w:bCs w:val="0"/>
          <w:color w:val="auto"/>
          <w:sz w:val="24"/>
          <w:highlight w:val="none"/>
        </w:rPr>
        <w:t>（得分/100）</w:t>
      </w:r>
      <w:r>
        <w:rPr>
          <w:rFonts w:hint="eastAsia" w:ascii="仿宋" w:hAnsi="仿宋" w:eastAsia="仿宋" w:cs="仿宋"/>
          <w:b w:val="0"/>
          <w:bCs w:val="0"/>
          <w:color w:val="auto"/>
          <w:sz w:val="24"/>
          <w:highlight w:val="none"/>
        </w:rPr>
        <w:t xml:space="preserve"> 比例支付，限期整改</w:t>
      </w:r>
      <w:r>
        <w:rPr>
          <w:rFonts w:hint="eastAsia" w:ascii="仿宋" w:hAnsi="仿宋" w:eastAsia="仿宋" w:cs="仿宋"/>
          <w:b w:val="0"/>
          <w:bCs w:val="0"/>
          <w:color w:val="auto"/>
          <w:sz w:val="24"/>
          <w:highlight w:val="none"/>
          <w:lang w:eastAsia="zh-CN"/>
        </w:rPr>
        <w:t>。</w:t>
      </w:r>
    </w:p>
    <w:p w14:paraId="62039E40">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不合格：＜</w:t>
      </w:r>
      <w:r>
        <w:rPr>
          <w:rFonts w:hint="eastAsia" w:ascii="仿宋" w:hAnsi="仿宋" w:eastAsia="仿宋" w:cs="仿宋"/>
          <w:b w:val="0"/>
          <w:bCs w:val="0"/>
          <w:color w:val="auto"/>
          <w:sz w:val="24"/>
          <w:highlight w:val="none"/>
          <w:lang w:eastAsia="zh-CN"/>
        </w:rPr>
        <w:t>8</w:t>
      </w:r>
      <w:r>
        <w:rPr>
          <w:rFonts w:hint="eastAsia" w:ascii="仿宋" w:hAnsi="仿宋" w:eastAsia="仿宋" w:cs="仿宋"/>
          <w:b w:val="0"/>
          <w:bCs w:val="0"/>
          <w:color w:val="auto"/>
          <w:sz w:val="24"/>
          <w:highlight w:val="none"/>
          <w:lang w:val="en-US" w:eastAsia="zh-CN"/>
        </w:rPr>
        <w:t>0</w:t>
      </w:r>
      <w:r>
        <w:rPr>
          <w:rFonts w:hint="eastAsia" w:ascii="仿宋" w:hAnsi="仿宋" w:eastAsia="仿宋" w:cs="仿宋"/>
          <w:b w:val="0"/>
          <w:bCs w:val="0"/>
          <w:color w:val="auto"/>
          <w:sz w:val="24"/>
          <w:highlight w:val="none"/>
        </w:rPr>
        <w:t xml:space="preserve"> 分，</w:t>
      </w:r>
      <w:r>
        <w:rPr>
          <w:rStyle w:val="5"/>
          <w:rFonts w:hint="eastAsia" w:ascii="仿宋" w:hAnsi="仿宋" w:eastAsia="仿宋" w:cs="仿宋"/>
          <w:b w:val="0"/>
          <w:bCs w:val="0"/>
          <w:color w:val="auto"/>
          <w:sz w:val="24"/>
          <w:highlight w:val="none"/>
        </w:rPr>
        <w:t>不予支付当月服务费</w:t>
      </w:r>
      <w:r>
        <w:rPr>
          <w:rFonts w:hint="eastAsia" w:ascii="仿宋" w:hAnsi="仿宋" w:eastAsia="仿宋" w:cs="仿宋"/>
          <w:b w:val="0"/>
          <w:bCs w:val="0"/>
          <w:color w:val="auto"/>
          <w:sz w:val="24"/>
          <w:highlight w:val="none"/>
        </w:rPr>
        <w:t>，终止合同，追究赔偿</w:t>
      </w:r>
      <w:r>
        <w:rPr>
          <w:rFonts w:hint="eastAsia" w:ascii="仿宋" w:hAnsi="仿宋" w:eastAsia="仿宋" w:cs="仿宋"/>
          <w:b w:val="0"/>
          <w:bCs w:val="0"/>
          <w:color w:val="auto"/>
          <w:sz w:val="24"/>
          <w:highlight w:val="none"/>
          <w:lang w:eastAsia="zh-CN"/>
        </w:rPr>
        <w:t>。</w:t>
      </w:r>
    </w:p>
    <w:p w14:paraId="7F67B8C0">
      <w:pPr>
        <w:keepNext w:val="0"/>
        <w:keepLines w:val="0"/>
        <w:widowControl/>
        <w:numPr>
          <w:ilvl w:val="0"/>
          <w:numId w:val="0"/>
        </w:numPr>
        <w:suppressLineNumbers w:val="0"/>
        <w:tabs>
          <w:tab w:val="left" w:pos="720"/>
        </w:tabs>
        <w:snapToGrid w:val="0"/>
        <w:spacing w:before="0" w:beforeAutospacing="0" w:after="0" w:afterAutospacing="0" w:line="360" w:lineRule="auto"/>
        <w:ind w:left="0" w:firstLine="0" w:firstLineChars="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lang w:val="en-US" w:eastAsia="zh-CN"/>
        </w:rPr>
        <w:t>2.</w:t>
      </w:r>
      <w:r>
        <w:rPr>
          <w:rStyle w:val="5"/>
          <w:rFonts w:hint="eastAsia" w:ascii="仿宋" w:hAnsi="仿宋" w:eastAsia="仿宋" w:cs="仿宋"/>
          <w:b w:val="0"/>
          <w:bCs w:val="0"/>
          <w:color w:val="auto"/>
          <w:sz w:val="24"/>
          <w:highlight w:val="none"/>
        </w:rPr>
        <w:t>一票否决（直接不合格 + 终止合同）</w:t>
      </w:r>
    </w:p>
    <w:p w14:paraId="1B4DA6EA">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使用无证车辆、无证驾驶员</w:t>
      </w:r>
      <w:r>
        <w:rPr>
          <w:rFonts w:hint="eastAsia" w:ascii="仿宋" w:hAnsi="仿宋" w:eastAsia="仿宋" w:cs="仿宋"/>
          <w:b w:val="0"/>
          <w:bCs w:val="0"/>
          <w:color w:val="auto"/>
          <w:sz w:val="24"/>
          <w:highlight w:val="none"/>
          <w:lang w:eastAsia="zh-CN"/>
        </w:rPr>
        <w:t>。</w:t>
      </w:r>
    </w:p>
    <w:p w14:paraId="6BA25807">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发生主/全责安全事故</w:t>
      </w:r>
      <w:r>
        <w:rPr>
          <w:rFonts w:hint="eastAsia" w:ascii="仿宋" w:hAnsi="仿宋" w:eastAsia="仿宋" w:cs="仿宋"/>
          <w:b w:val="0"/>
          <w:bCs w:val="0"/>
          <w:color w:val="auto"/>
          <w:sz w:val="24"/>
          <w:highlight w:val="none"/>
          <w:lang w:eastAsia="zh-CN"/>
        </w:rPr>
        <w:t>。</w:t>
      </w:r>
    </w:p>
    <w:p w14:paraId="62B5138B">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超员、超速</w:t>
      </w:r>
      <w:r>
        <w:rPr>
          <w:rFonts w:hint="eastAsia" w:ascii="仿宋" w:hAnsi="仿宋" w:eastAsia="仿宋" w:cs="仿宋"/>
          <w:b w:val="0"/>
          <w:bCs w:val="0"/>
          <w:color w:val="auto"/>
          <w:sz w:val="24"/>
          <w:highlight w:val="none"/>
          <w:lang w:eastAsia="zh-CN"/>
        </w:rPr>
        <w:t>3</w:t>
      </w:r>
      <w:r>
        <w:rPr>
          <w:rFonts w:hint="eastAsia" w:ascii="仿宋" w:hAnsi="仿宋" w:eastAsia="仿宋" w:cs="仿宋"/>
          <w:b w:val="0"/>
          <w:bCs w:val="0"/>
          <w:color w:val="auto"/>
          <w:sz w:val="24"/>
          <w:highlight w:val="none"/>
          <w:lang w:val="en-US" w:eastAsia="zh-CN"/>
        </w:rPr>
        <w:t>0</w:t>
      </w:r>
      <w:r>
        <w:rPr>
          <w:rFonts w:hint="eastAsia" w:ascii="仿宋" w:hAnsi="仿宋" w:eastAsia="仿宋" w:cs="仿宋"/>
          <w:b w:val="0"/>
          <w:bCs w:val="0"/>
          <w:color w:val="auto"/>
          <w:sz w:val="24"/>
          <w:highlight w:val="none"/>
        </w:rPr>
        <w:t>% 以上、酒驾毒驾</w:t>
      </w:r>
      <w:r>
        <w:rPr>
          <w:rFonts w:hint="eastAsia" w:ascii="仿宋" w:hAnsi="仿宋" w:eastAsia="仿宋" w:cs="仿宋"/>
          <w:b w:val="0"/>
          <w:bCs w:val="0"/>
          <w:color w:val="auto"/>
          <w:sz w:val="24"/>
          <w:highlight w:val="none"/>
          <w:lang w:eastAsia="zh-CN"/>
        </w:rPr>
        <w:t>。</w:t>
      </w:r>
    </w:p>
    <w:p w14:paraId="39FF80B7">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监控离线 / 数据造假、拒不整改</w:t>
      </w:r>
      <w:r>
        <w:rPr>
          <w:rFonts w:hint="eastAsia" w:ascii="仿宋" w:hAnsi="仿宋" w:eastAsia="仿宋" w:cs="仿宋"/>
          <w:b w:val="0"/>
          <w:bCs w:val="0"/>
          <w:color w:val="auto"/>
          <w:sz w:val="24"/>
          <w:highlight w:val="none"/>
          <w:lang w:eastAsia="zh-CN"/>
        </w:rPr>
        <w:t>。</w:t>
      </w:r>
    </w:p>
    <w:p w14:paraId="35877AA3">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转包、分包、擅自更换核心资源</w:t>
      </w:r>
      <w:r>
        <w:rPr>
          <w:rFonts w:hint="eastAsia" w:ascii="仿宋" w:hAnsi="仿宋" w:eastAsia="仿宋" w:cs="仿宋"/>
          <w:b w:val="0"/>
          <w:bCs w:val="0"/>
          <w:color w:val="auto"/>
          <w:sz w:val="24"/>
          <w:highlight w:val="none"/>
          <w:lang w:eastAsia="zh-CN"/>
        </w:rPr>
        <w:t>。</w:t>
      </w:r>
    </w:p>
    <w:p w14:paraId="4914E856">
      <w:pPr>
        <w:keepNext w:val="0"/>
        <w:keepLines w:val="0"/>
        <w:widowControl/>
        <w:numPr>
          <w:ilvl w:val="0"/>
          <w:numId w:val="0"/>
        </w:numPr>
        <w:suppressLineNumbers w:val="0"/>
        <w:tabs>
          <w:tab w:val="left" w:pos="720"/>
        </w:tabs>
        <w:snapToGrid w:val="0"/>
        <w:spacing w:before="0" w:beforeAutospacing="0" w:after="0" w:afterAutospacing="0" w:line="360" w:lineRule="auto"/>
        <w:ind w:left="0" w:firstLine="0" w:firstLineChars="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lang w:val="en-US" w:eastAsia="zh-CN"/>
        </w:rPr>
        <w:t>3.</w:t>
      </w:r>
      <w:r>
        <w:rPr>
          <w:rStyle w:val="5"/>
          <w:rFonts w:hint="eastAsia" w:ascii="仿宋" w:hAnsi="仿宋" w:eastAsia="仿宋" w:cs="仿宋"/>
          <w:b w:val="0"/>
          <w:bCs w:val="0"/>
          <w:color w:val="auto"/>
          <w:sz w:val="24"/>
          <w:highlight w:val="none"/>
        </w:rPr>
        <w:t>赔偿与扣款执行</w:t>
      </w:r>
    </w:p>
    <w:p w14:paraId="1DA2250A">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赔偿款从</w:t>
      </w:r>
      <w:r>
        <w:rPr>
          <w:rStyle w:val="5"/>
          <w:rFonts w:hint="eastAsia" w:ascii="仿宋" w:hAnsi="仿宋" w:eastAsia="仿宋" w:cs="仿宋"/>
          <w:b w:val="0"/>
          <w:bCs w:val="0"/>
          <w:color w:val="auto"/>
          <w:sz w:val="24"/>
          <w:highlight w:val="none"/>
        </w:rPr>
        <w:t>当月服务费/履约保证金</w:t>
      </w:r>
      <w:r>
        <w:rPr>
          <w:rFonts w:hint="eastAsia" w:ascii="仿宋" w:hAnsi="仿宋" w:eastAsia="仿宋" w:cs="仿宋"/>
          <w:b w:val="0"/>
          <w:bCs w:val="0"/>
          <w:color w:val="auto"/>
          <w:sz w:val="24"/>
          <w:highlight w:val="none"/>
        </w:rPr>
        <w:t>中直接抵扣</w:t>
      </w:r>
      <w:r>
        <w:rPr>
          <w:rFonts w:hint="eastAsia" w:ascii="仿宋" w:hAnsi="仿宋" w:eastAsia="仿宋" w:cs="仿宋"/>
          <w:b w:val="0"/>
          <w:bCs w:val="0"/>
          <w:color w:val="auto"/>
          <w:sz w:val="24"/>
          <w:highlight w:val="none"/>
          <w:lang w:eastAsia="zh-CN"/>
        </w:rPr>
        <w:t>。</w:t>
      </w:r>
    </w:p>
    <w:p w14:paraId="4A41A2C9">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赔偿不足以弥补损失的，中标人另行补足</w:t>
      </w:r>
      <w:r>
        <w:rPr>
          <w:rFonts w:hint="eastAsia" w:ascii="仿宋" w:hAnsi="仿宋" w:eastAsia="仿宋" w:cs="仿宋"/>
          <w:b w:val="0"/>
          <w:bCs w:val="0"/>
          <w:color w:val="auto"/>
          <w:sz w:val="24"/>
          <w:highlight w:val="none"/>
          <w:lang w:eastAsia="zh-CN"/>
        </w:rPr>
        <w:t>。</w:t>
      </w:r>
    </w:p>
    <w:p w14:paraId="35E474B9">
      <w:pPr>
        <w:keepNext w:val="0"/>
        <w:keepLines w:val="0"/>
        <w:widowControl/>
        <w:numPr>
          <w:ilvl w:val="0"/>
          <w:numId w:val="0"/>
        </w:numPr>
        <w:suppressLineNumbers w:val="0"/>
        <w:tabs>
          <w:tab w:val="left" w:pos="1440"/>
        </w:tabs>
        <w:snapToGrid w:val="0"/>
        <w:spacing w:before="0" w:beforeAutospacing="0" w:after="0" w:afterAutospacing="0" w:line="360" w:lineRule="auto"/>
        <w:ind w:left="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月度验收结果作为付款唯一依据</w:t>
      </w:r>
      <w:r>
        <w:rPr>
          <w:rFonts w:hint="eastAsia" w:ascii="仿宋" w:hAnsi="仿宋" w:eastAsia="仿宋" w:cs="仿宋"/>
          <w:b w:val="0"/>
          <w:bCs w:val="0"/>
          <w:color w:val="auto"/>
          <w:sz w:val="24"/>
          <w:highlight w:val="none"/>
          <w:lang w:eastAsia="zh-CN"/>
        </w:rPr>
        <w:t>。</w:t>
      </w:r>
    </w:p>
    <w:p w14:paraId="2DEDBD4B">
      <w:pPr>
        <w:keepNext w:val="0"/>
        <w:keepLines w:val="0"/>
        <w:widowControl/>
        <w:numPr>
          <w:ilvl w:val="0"/>
          <w:numId w:val="0"/>
        </w:numPr>
        <w:suppressLineNumbers w:val="0"/>
        <w:tabs>
          <w:tab w:val="left" w:pos="720"/>
        </w:tabs>
        <w:snapToGrid w:val="0"/>
        <w:spacing w:before="0" w:beforeAutospacing="0" w:after="0" w:afterAutospacing="0" w:line="360" w:lineRule="auto"/>
        <w:ind w:left="0" w:firstLine="0" w:firstLineChars="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lang w:val="en-US" w:eastAsia="zh-CN"/>
        </w:rPr>
        <w:t>4.</w:t>
      </w:r>
      <w:r>
        <w:rPr>
          <w:rStyle w:val="5"/>
          <w:rFonts w:hint="eastAsia" w:ascii="仿宋" w:hAnsi="仿宋" w:eastAsia="仿宋" w:cs="仿宋"/>
          <w:b w:val="0"/>
          <w:bCs w:val="0"/>
          <w:color w:val="auto"/>
          <w:sz w:val="24"/>
          <w:highlight w:val="none"/>
        </w:rPr>
        <w:t>资料留存</w:t>
      </w:r>
    </w:p>
    <w:p w14:paraId="2B0B9C03">
      <w:pPr>
        <w:snapToGrid w:val="0"/>
        <w:spacing w:line="360" w:lineRule="auto"/>
        <w:ind w:firstLine="480" w:firstLineChars="200"/>
        <w:rPr>
          <w:rFonts w:hint="eastAsia" w:ascii="仿宋" w:hAnsi="仿宋" w:eastAsia="仿宋" w:cs="仿宋"/>
          <w:b w:val="0"/>
          <w:bCs w:val="0"/>
          <w:color w:val="auto"/>
          <w:sz w:val="24"/>
          <w:highlight w:val="none"/>
          <w:lang w:eastAsia="zh-CN"/>
        </w:rPr>
      </w:pPr>
      <w:r>
        <w:rPr>
          <w:rFonts w:hint="eastAsia" w:ascii="仿宋" w:hAnsi="仿宋" w:eastAsia="仿宋" w:cs="仿宋"/>
          <w:b w:val="0"/>
          <w:bCs w:val="0"/>
          <w:color w:val="auto"/>
          <w:sz w:val="24"/>
          <w:highlight w:val="none"/>
        </w:rPr>
        <w:t>验收表、扣分记录、照片/视频、家长签字、整改回执一并归档，作为审计与付款依据</w:t>
      </w:r>
      <w:r>
        <w:rPr>
          <w:rFonts w:hint="eastAsia" w:ascii="仿宋" w:hAnsi="仿宋" w:eastAsia="仿宋" w:cs="仿宋"/>
          <w:b w:val="0"/>
          <w:bCs w:val="0"/>
          <w:color w:val="auto"/>
          <w:sz w:val="24"/>
          <w:highlight w:val="none"/>
          <w:lang w:eastAsia="zh-CN"/>
        </w:rPr>
        <w:t>。</w:t>
      </w:r>
    </w:p>
    <w:p w14:paraId="5FEC24EA">
      <w:pPr>
        <w:snapToGrid w:val="0"/>
        <w:spacing w:line="360" w:lineRule="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九、结算要求：</w:t>
      </w:r>
    </w:p>
    <w:p w14:paraId="3E794B5F">
      <w:pPr>
        <w:snapToGrid w:val="0"/>
        <w:spacing w:line="360" w:lineRule="auto"/>
        <w:ind w:firstLine="480" w:firstLineChars="200"/>
        <w:rPr>
          <w:rFonts w:hint="default" w:ascii="仿宋" w:hAnsi="仿宋" w:eastAsia="仿宋" w:cs="仿宋"/>
          <w:color w:val="auto"/>
          <w:sz w:val="24"/>
          <w:highlight w:val="none"/>
          <w:lang w:val="en-US" w:eastAsia="zh-CN"/>
        </w:rPr>
      </w:pPr>
      <w:r>
        <w:rPr>
          <w:rFonts w:hint="default" w:ascii="仿宋" w:hAnsi="仿宋" w:eastAsia="仿宋" w:cs="仿宋"/>
          <w:color w:val="auto"/>
          <w:sz w:val="24"/>
          <w:szCs w:val="24"/>
          <w:highlight w:val="none"/>
          <w:lang w:eastAsia="zh-CN"/>
        </w:rPr>
        <w:t>根据实际人数按每学期</w:t>
      </w:r>
      <w:r>
        <w:rPr>
          <w:rFonts w:hint="default" w:ascii="仿宋" w:hAnsi="仿宋" w:eastAsia="仿宋" w:cs="仿宋"/>
          <w:color w:val="auto"/>
          <w:sz w:val="24"/>
          <w:szCs w:val="24"/>
          <w:highlight w:val="none"/>
          <w:lang w:val="en-US" w:eastAsia="zh-CN"/>
        </w:rPr>
        <w:t>收取，按规定由</w:t>
      </w:r>
      <w:r>
        <w:rPr>
          <w:rFonts w:hint="eastAsia" w:ascii="仿宋" w:hAnsi="仿宋" w:eastAsia="仿宋" w:cs="仿宋"/>
          <w:color w:val="auto"/>
          <w:sz w:val="24"/>
          <w:szCs w:val="24"/>
          <w:highlight w:val="none"/>
          <w:lang w:val="en-US" w:eastAsia="zh-CN"/>
        </w:rPr>
        <w:t>各</w:t>
      </w:r>
      <w:r>
        <w:rPr>
          <w:rFonts w:hint="default" w:ascii="仿宋" w:hAnsi="仿宋" w:eastAsia="仿宋" w:cs="仿宋"/>
          <w:color w:val="auto"/>
          <w:sz w:val="24"/>
          <w:szCs w:val="24"/>
          <w:highlight w:val="none"/>
          <w:lang w:val="en-US" w:eastAsia="zh-CN"/>
        </w:rPr>
        <w:t>学校代</w:t>
      </w:r>
      <w:r>
        <w:rPr>
          <w:rFonts w:hint="default" w:ascii="仿宋" w:hAnsi="仿宋" w:eastAsia="仿宋" w:cs="仿宋"/>
          <w:color w:val="auto"/>
          <w:sz w:val="24"/>
          <w:szCs w:val="24"/>
          <w:highlight w:val="none"/>
          <w:lang w:eastAsia="zh-CN"/>
        </w:rPr>
        <w:t>收，费用由学生家长支付</w:t>
      </w:r>
      <w:r>
        <w:rPr>
          <w:rFonts w:hint="eastAsia" w:ascii="仿宋" w:hAnsi="仿宋" w:eastAsia="仿宋" w:cs="仿宋"/>
          <w:color w:val="auto"/>
          <w:sz w:val="24"/>
          <w:szCs w:val="24"/>
          <w:highlight w:val="none"/>
          <w:lang w:eastAsia="zh-CN"/>
        </w:rPr>
        <w:t>，采购人按有关部门要求支付</w:t>
      </w:r>
      <w:r>
        <w:rPr>
          <w:rFonts w:hint="default" w:ascii="仿宋" w:hAnsi="仿宋" w:eastAsia="仿宋" w:cs="仿宋"/>
          <w:color w:val="auto"/>
          <w:sz w:val="24"/>
          <w:highlight w:val="none"/>
          <w:lang w:val="en-US" w:eastAsia="zh-CN"/>
        </w:rPr>
        <w:t>。</w:t>
      </w:r>
    </w:p>
    <w:p w14:paraId="0A20BB28">
      <w:pPr>
        <w:snapToGrid w:val="0"/>
        <w:spacing w:line="360" w:lineRule="auto"/>
        <w:ind w:firstLine="0" w:firstLineChars="0"/>
        <w:rPr>
          <w:rFonts w:hint="eastAsia" w:ascii="仿宋" w:hAnsi="仿宋" w:eastAsia="仿宋" w:cs="仿宋"/>
          <w:b/>
          <w:bCs/>
          <w:color w:val="auto"/>
          <w:kern w:val="0"/>
          <w:sz w:val="32"/>
          <w:szCs w:val="32"/>
          <w:highlight w:val="none"/>
          <w:lang w:val="en-US"/>
        </w:rPr>
      </w:pPr>
      <w:r>
        <w:rPr>
          <w:rFonts w:hint="eastAsia" w:ascii="仿宋" w:hAnsi="仿宋" w:eastAsia="仿宋" w:cs="仿宋"/>
          <w:b/>
          <w:bCs/>
          <w:color w:val="auto"/>
          <w:kern w:val="0"/>
          <w:sz w:val="32"/>
          <w:szCs w:val="32"/>
          <w:highlight w:val="none"/>
          <w:lang w:val="en-US" w:eastAsia="zh-CN"/>
        </w:rPr>
        <w:t>十、预算金额、最高限价：</w:t>
      </w:r>
    </w:p>
    <w:p w14:paraId="46948E50">
      <w:pPr>
        <w:spacing w:line="360" w:lineRule="auto"/>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预算金额：双趟4200元/人/学期（上放学乘车）；单趟2700元/人/学期（单上学或单放学乘车）</w:t>
      </w:r>
    </w:p>
    <w:p w14:paraId="2AFFEE6B">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最高限价：本项目对优惠率进行报价，投标人优惠率报价≥0%，否则作为无效投标处理。</w:t>
      </w:r>
    </w:p>
    <w:p w14:paraId="4DFBCBC1">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5A297F"/>
    <w:rsid w:val="335A2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rPr>
      <w:rFonts w:ascii="Times New Roman" w:hAnsi="Times New Roman" w:eastAsia="宋体" w:cs="Times New Roman"/>
    </w:rPr>
  </w:style>
  <w:style w:type="character" w:styleId="5">
    <w:name w:val="Strong"/>
    <w:qFormat/>
    <w:uiPriority w:val="0"/>
    <w:rPr>
      <w:rFonts w:ascii="Times New Roman" w:hAnsi="Times New Roman" w:eastAsia="宋体" w:cs="Times New Roman"/>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2026-08-14T09:07:00Z</dcterms:created>
  <dc:creator>沙昊锴</dc:creator>
  <cp:lastModifiedBy>沙昊锴</cp:lastModifiedBy>
  <dcterms:modified xsi:type="dcterms:W3CDTF">2026-08-14T09:07:57Z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FC5D72BDB8764A99AD0E8A021B224753_11</vt:lpwstr>
  </property>
  <property fmtid="{D5CDD505-2E9C-101B-9397-08002B2CF9AE}" pid="4" name="KSOTemplateDocerSaveRecord">
    <vt:lpwstr>eyJoZGlkIjoiZDBkNWI1YmIxM2MwN2NjN2UyMzRhNjJmODM5ZGE4NzkiLCJ1c2VySWQiOiIxMTk5MjAwMDEwIn0=</vt:lpwstr>
  </property>
</Properties>
</file>