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C903A">
      <w:pPr>
        <w:pStyle w:val="2"/>
        <w:shd w:val="clear" w:color="auto" w:fill="auto"/>
        <w:spacing w:before="60" w:after="60" w:line="360" w:lineRule="auto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附件：服务要求</w:t>
      </w:r>
    </w:p>
    <w:p w14:paraId="38B5A6A1">
      <w:pPr>
        <w:pStyle w:val="2"/>
        <w:shd w:val="clear" w:color="auto" w:fill="auto"/>
        <w:spacing w:before="60" w:after="60" w:line="360" w:lineRule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项目概况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：</w:t>
      </w:r>
    </w:p>
    <w:p w14:paraId="0CDE0296">
      <w:pPr>
        <w:shd w:val="clear" w:color="auto" w:fill="auto"/>
        <w:autoSpaceDE w:val="0"/>
        <w:autoSpaceDN w:val="0"/>
        <w:spacing w:line="360" w:lineRule="auto"/>
        <w:ind w:firstLine="640" w:firstLineChars="200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 w:bidi="ar"/>
        </w:rPr>
        <w:t>本项目为常州横峰沟闸液压油缸维修项目，内容包括但不限于现场油缸拆装、油缸解</w:t>
      </w:r>
      <w:bookmarkStart w:id="4" w:name="_GoBack"/>
      <w:bookmarkEnd w:id="4"/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 w:bidi="ar"/>
        </w:rPr>
        <w:t>体维修、活塞杆维修、更换油缸新密封圈、提供液压油、油缸出新油漆、触摸屏更换、PLC更换、程序重新编写以及完成本项目要求的其他相关服务。</w:t>
      </w:r>
    </w:p>
    <w:p w14:paraId="223E3AF8">
      <w:pPr>
        <w:pStyle w:val="2"/>
        <w:numPr>
          <w:ilvl w:val="0"/>
          <w:numId w:val="1"/>
        </w:numPr>
        <w:shd w:val="clear" w:color="auto" w:fill="auto"/>
        <w:spacing w:before="60" w:after="6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维修清单：</w:t>
      </w:r>
    </w:p>
    <w:tbl>
      <w:tblPr>
        <w:tblStyle w:val="3"/>
        <w:tblW w:w="4925" w:type="pc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528"/>
        <w:gridCol w:w="648"/>
        <w:gridCol w:w="684"/>
        <w:gridCol w:w="4911"/>
      </w:tblGrid>
      <w:tr w14:paraId="182B4D5F">
        <w:trPr>
          <w:trHeight w:val="538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624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highlight w:val="none"/>
                <w:lang w:bidi="ar"/>
              </w:rPr>
              <w:t>序号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959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highlight w:val="none"/>
                <w:lang w:bidi="ar"/>
              </w:rPr>
              <w:t>内容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64F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highlight w:val="none"/>
                <w:lang w:bidi="ar"/>
              </w:rPr>
              <w:t>单位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2B6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highlight w:val="none"/>
                <w:lang w:bidi="ar"/>
              </w:rPr>
              <w:t>数量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BE2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维修要求</w:t>
            </w:r>
          </w:p>
        </w:tc>
      </w:tr>
      <w:tr w14:paraId="07DCD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D0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1E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现场油缸拆装辅料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79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587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F57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槽钢，木板等</w:t>
            </w:r>
          </w:p>
        </w:tc>
      </w:tr>
      <w:tr w14:paraId="01DBF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D02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3FF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油缸拆、装费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B2B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9F5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ABDC">
            <w:pPr>
              <w:widowControl/>
              <w:ind w:firstLine="640" w:firstLineChars="2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包括固定销固定，叉车（现场1根油缸目前液压油已流光，无法动作。拆油缸前必须加满液压油，把2根油缸开启至锁定位置固定销固定后才能拆除油缸。由于现场道路无法使用吊车，只能靠人工把液压弄上岸，使用叉车装车、卸车等。）</w:t>
            </w:r>
          </w:p>
        </w:tc>
      </w:tr>
      <w:tr w14:paraId="3A8A8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72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A21C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200KN油缸密封圈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9A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套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D1A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9F78">
            <w:pPr>
              <w:widowControl/>
              <w:ind w:firstLine="640" w:firstLineChars="20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现有设备品牌型号：MERKEL</w:t>
            </w:r>
          </w:p>
        </w:tc>
      </w:tr>
      <w:tr w14:paraId="441F7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5F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18C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油缸解体维修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E0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套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58B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A0D6">
            <w:pPr>
              <w:widowControl/>
              <w:ind w:firstLine="64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油缸解体清洗，更换密封圈，油箱漏油处理，组装、厂内试验等。</w:t>
            </w:r>
          </w:p>
        </w:tc>
      </w:tr>
      <w:tr w14:paraId="309C5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6E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084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活塞杆维修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AE6A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366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815C4">
            <w:pPr>
              <w:widowControl/>
              <w:ind w:firstLine="640" w:firstLineChars="2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由于现场1根活塞杆镀层破损，出现锈点。如拆下后可以利用的情况下退镀后重新电镀，如锈点深度太深必须重新做活塞杆。</w:t>
            </w:r>
          </w:p>
        </w:tc>
      </w:tr>
      <w:tr w14:paraId="2F33E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057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6</w:t>
            </w:r>
          </w:p>
        </w:tc>
        <w:tc>
          <w:tcPr>
            <w:tcW w:w="90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DFC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新活塞杆</w:t>
            </w:r>
          </w:p>
        </w:tc>
        <w:tc>
          <w:tcPr>
            <w:tcW w:w="38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436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根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5B6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92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7037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新做活塞杆</w:t>
            </w:r>
          </w:p>
        </w:tc>
      </w:tr>
      <w:tr w14:paraId="007F8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CB24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55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油缸出新油漆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E3E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968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0EE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喷砂，油漆</w:t>
            </w:r>
          </w:p>
        </w:tc>
      </w:tr>
      <w:tr w14:paraId="0C3D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476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1E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液压油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E8D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472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2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65E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昆仑 </w:t>
            </w:r>
          </w:p>
        </w:tc>
      </w:tr>
      <w:tr w14:paraId="370F9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D31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BE2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新触摸屏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E828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块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B4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0F564">
            <w:pPr>
              <w:widowControl/>
              <w:ind w:firstLine="640" w:firstLineChars="2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现场触摸屏已损坏，必须更换新触摸屏才能工作。现有设备品牌型号：威纶通MT8101IE</w:t>
            </w:r>
          </w:p>
        </w:tc>
      </w:tr>
      <w:tr w14:paraId="17CCD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C094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CFB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新PLC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060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套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100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2B5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现场PLC已损坏，必须更换新PLC才能保证2根油缸运行时进到双缸同步。现有设备品牌型号：施耐德TM221CE40T</w:t>
            </w:r>
          </w:p>
        </w:tc>
      </w:tr>
      <w:tr w14:paraId="22077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EF81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A4B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编程费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B75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22E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42A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由于现场PLC已损坏，程序必须重新编写</w:t>
            </w:r>
          </w:p>
        </w:tc>
      </w:tr>
      <w:tr w14:paraId="6A52C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EA73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注：数量为暂估数量，仅作报价参考使用。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结算时，按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成交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单价固定不变，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量按实结算。</w:t>
            </w:r>
          </w:p>
        </w:tc>
      </w:tr>
    </w:tbl>
    <w:p w14:paraId="6B875CF8"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C9314B1">
      <w:pPr>
        <w:pStyle w:val="2"/>
        <w:numPr>
          <w:ilvl w:val="0"/>
          <w:numId w:val="0"/>
        </w:numPr>
        <w:shd w:val="clear" w:color="auto" w:fill="auto"/>
        <w:spacing w:before="60" w:after="60" w:line="360" w:lineRule="auto"/>
        <w:ind w:firstLine="0" w:firstLineChars="0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三、服务要求：</w:t>
      </w:r>
    </w:p>
    <w:p w14:paraId="457DD5E4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项目实施过程中，供应商提供的材料、产品执行国家、省、市或行业现行质量标准，保证所提供货物是全新的、未使用过的全新产品，且所有的配件均符合国家质量检测标准，在产品送达的同时提供生产厂家出厂检测报告、合格证等证明文件。已列入国家强制性产品认证的产品，供货验收时必须提供通过国家3C认证的有关证明材料。采购人将随机对送达的产品进行抽检，如发现不符合质量规定的产品，采购人有权拒收。</w:t>
      </w:r>
    </w:p>
    <w:p w14:paraId="6E533E3C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2.售后服务要求</w:t>
      </w:r>
    </w:p>
    <w:p w14:paraId="3B3DBD2E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（1）质保期：从最终验收完成之日起，产品免费质保期为一年，发现问题 2 小时内响应，4小时内电话做出维修方案，如4个小时内无法通过电话解决问题，派维修人员在接到保修通知后 24 小时内到达现场解决问题。保修期内，非人为原因造成的产品故障，免费更换有缺陷的设备或部件，直至恢复设备正常性能，此间发生的一切费用由成交供应商自行承担。如不能及时解决实际工作中出现的问题，成交供应商应提供备用产品修复。原产品修复后的质保期限相应延长至新的保修期截止日。</w:t>
      </w:r>
    </w:p>
    <w:p w14:paraId="3CDFF49C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2）针对产品进货、出货、送货和坏品更换及采购人监督环节，制定相应的管理控制程序。同时健全岗位职责，配备符合岗位要求并有相应水平的售后服务技术人员；设立服务监督机构，由专职人员负责，以监督有效奖惩，持续修正各项服务目标，通过内部和外部的监督评价来监督售后服务系统的运转情况。合同签订后，成交供应商须向采购人提供各岗位人员名单及联系方式，不得随意更换。</w:t>
      </w:r>
    </w:p>
    <w:p w14:paraId="5D16925B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（3）接到采购人应急维修通知之时起，2小时内能达到现场，并能展开维修工作或提出实质性解决方案。</w:t>
      </w:r>
    </w:p>
    <w:p w14:paraId="232E274C">
      <w:pPr>
        <w:pStyle w:val="2"/>
        <w:numPr>
          <w:ilvl w:val="0"/>
          <w:numId w:val="0"/>
        </w:numPr>
        <w:shd w:val="clear" w:color="auto" w:fill="auto"/>
        <w:spacing w:before="60" w:after="60" w:line="360" w:lineRule="auto"/>
        <w:ind w:firstLine="0" w:firstLineChars="0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  <w:t>承包方式：</w:t>
      </w:r>
    </w:p>
    <w:p w14:paraId="0F684A4F">
      <w:pPr>
        <w:keepNext w:val="0"/>
        <w:keepLines w:val="0"/>
        <w:widowControl/>
        <w:shd w:val="clear" w:color="auto" w:fill="auto"/>
        <w:ind w:firstLine="64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固定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综合单价（按实结算）</w:t>
      </w:r>
    </w:p>
    <w:p w14:paraId="09D96961">
      <w:pPr>
        <w:pStyle w:val="2"/>
        <w:shd w:val="clear" w:color="auto" w:fill="auto"/>
        <w:spacing w:before="60" w:after="60" w:line="360" w:lineRule="auto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</w:pPr>
      <w:bookmarkStart w:id="0" w:name="_Toc24608"/>
      <w:bookmarkStart w:id="1" w:name="_Toc820"/>
      <w:bookmarkStart w:id="2" w:name="_Toc8548"/>
      <w:bookmarkStart w:id="3" w:name="_Toc15053"/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</w:rPr>
        <w:t>、</w:t>
      </w:r>
      <w:bookmarkEnd w:id="0"/>
      <w:bookmarkEnd w:id="1"/>
      <w:bookmarkEnd w:id="2"/>
      <w:bookmarkEnd w:id="3"/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报价要求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  <w:t>：</w:t>
      </w:r>
    </w:p>
    <w:p w14:paraId="4D1748FF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本项目报价为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含税报价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总报价应包括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但不限于竞争性磋商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文件所确定的采购范围相应服务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的各项应有费用，包括但不限于：人员工资、社保、福利、各项保险、耗材、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备件和工具、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机械费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垃圾清运及消纳费、二次运输费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企业管理费、利润、措施项目费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税金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招标代理服务费、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政策性文件规定及合同包含的所有风险、责任等各项应有费用，以及为完成该项服务项目所涉及到的一切相关费用，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不再支付其他任何费用。磋商文件未列明，而供应商认为必需的费用也需列入报价，后期不再调整。</w:t>
      </w:r>
    </w:p>
    <w:p w14:paraId="4E3B3361">
      <w:pPr>
        <w:shd w:val="clear" w:color="auto" w:fill="auto"/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2.响应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</w:rPr>
        <w:t>报价为最终报价，除非因特殊原因并经买卖双方协商同意，供应商不得再要求追加任何费用。同时，除非合同条款中另有规定，否则，供应商所报价格在合同响应、实施期间不因市场变化因素而变动。</w:t>
      </w:r>
    </w:p>
    <w:p w14:paraId="501223B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可自行进行现场踏勘，充分了解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服务范围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内现状，中标后不得以不了解项目情况为由要求增加任何费用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373D87A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outlineLvl w:val="1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六、合同履行期限：</w:t>
      </w:r>
    </w:p>
    <w:p w14:paraId="2FB96A5F">
      <w:pPr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自合同签订后30日历天内完成（具体时间服从采购人安排）。</w:t>
      </w:r>
    </w:p>
    <w:p w14:paraId="0172A031">
      <w:pPr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</w:rPr>
        <w:t>付款方式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  <w:t>：</w:t>
      </w:r>
    </w:p>
    <w:p w14:paraId="4AFCF527">
      <w:pPr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项目完成并经验收合格，结算审计结束后按要求开具发票，采购人收到发票后30日内一次性付清结算款。</w:t>
      </w:r>
    </w:p>
    <w:p w14:paraId="662402A4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24011"/>
    <w:multiLevelType w:val="singleLevel"/>
    <w:tmpl w:val="D092401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E5D6F"/>
    <w:rsid w:val="24CB126A"/>
    <w:rsid w:val="5D0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1756</Words>
  <Characters>1808</Characters>
  <Lines>0</Lines>
  <Paragraphs>0</Paragraphs>
  <TotalTime>0</TotalTime>
  <ScaleCrop>false</ScaleCrop>
  <LinksUpToDate>false</LinksUpToDate>
  <CharactersWithSpaces>1816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2026-09-14T15:44:00Z</dcterms:created>
  <dc:creator>51525</dc:creator>
  <cp:lastModifiedBy>51525</cp:lastModifiedBy>
  <dcterms:modified xsi:type="dcterms:W3CDTF">2026-09-15T10:32:07Z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eyJoZGlkIjoiZjYzNzhlNjc5NTczZmRhMGI0NDNjZGEwY2NlNGUzYmEiLCJ1c2VySWQiOiI1MTQxNzA4MzcifQ==</vt:lpwstr>
  </property>
  <property fmtid="{D5CDD505-2E9C-101B-9397-08002B2CF9AE}" pid="4" name="ICV">
    <vt:lpwstr>549BD85FDAB94EC9B6798FDF8B127804_12</vt:lpwstr>
  </property>
</Properties>
</file>