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EFD64">
      <w:pPr>
        <w:snapToGrid w:val="0"/>
        <w:spacing w:line="336" w:lineRule="auto"/>
        <w:jc w:val="center"/>
        <w:rPr>
          <w:rFonts w:hint="eastAsia" w:ascii="仿宋" w:hAnsi="仿宋" w:eastAsia="仿宋" w:cs="仿宋"/>
          <w:b/>
          <w:bCs/>
          <w:color w:val="auto"/>
          <w:sz w:val="32"/>
          <w:szCs w:val="32"/>
          <w:highlight w:val="none"/>
          <w:lang w:val="en-US" w:eastAsia="zh-CN"/>
        </w:rPr>
      </w:pPr>
      <w:bookmarkStart w:id="0" w:name="OLE_LINK2"/>
      <w:r>
        <w:rPr>
          <w:rFonts w:hint="eastAsia" w:ascii="仿宋" w:hAnsi="仿宋" w:eastAsia="仿宋" w:cs="仿宋"/>
          <w:b/>
          <w:bCs/>
          <w:color w:val="auto"/>
          <w:sz w:val="32"/>
          <w:szCs w:val="32"/>
          <w:highlight w:val="none"/>
          <w:lang w:val="en-US" w:eastAsia="zh-CN"/>
        </w:rPr>
        <w:t>附件</w:t>
      </w:r>
    </w:p>
    <w:p w14:paraId="4DDBFFFE">
      <w:pPr>
        <w:snapToGrid w:val="0"/>
        <w:spacing w:line="336" w:lineRule="auto"/>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一、项目概况</w:t>
      </w:r>
    </w:p>
    <w:p w14:paraId="532424BE">
      <w:pPr>
        <w:widowControl/>
        <w:snapToGrid/>
        <w:spacing w:line="336"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本项目为</w:t>
      </w:r>
      <w:r>
        <w:rPr>
          <w:rFonts w:hint="eastAsia" w:ascii="仿宋" w:hAnsi="仿宋" w:eastAsia="仿宋" w:cs="仿宋"/>
          <w:color w:val="auto"/>
          <w:sz w:val="24"/>
          <w:szCs w:val="24"/>
          <w:highlight w:val="none"/>
          <w:lang w:eastAsia="zh-CN"/>
        </w:rPr>
        <w:t>五星街道部分城中村消防巡查服务项目，</w:t>
      </w:r>
      <w:r>
        <w:rPr>
          <w:rFonts w:hint="eastAsia" w:ascii="仿宋" w:hAnsi="仿宋" w:eastAsia="仿宋" w:cs="仿宋"/>
          <w:color w:val="auto"/>
          <w:sz w:val="24"/>
          <w:szCs w:val="24"/>
          <w:highlight w:val="none"/>
        </w:rPr>
        <w:t>深入贯彻落实上级关于消防工作指示精神，维护五星街道火灾形势平稳，及时消除南河沿、老航仪、团团河等道路狭窄城中村火灾隐患，特组织实施五星街道部分城中村消防巡查服务项目。</w:t>
      </w:r>
    </w:p>
    <w:bookmarkEnd w:id="0"/>
    <w:p w14:paraId="6EA920B7">
      <w:pPr>
        <w:snapToGrid w:val="0"/>
        <w:spacing w:line="336" w:lineRule="auto"/>
        <w:ind w:firstLine="0" w:firstLineChars="0"/>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二、服务内容及要求</w:t>
      </w:r>
      <w:bookmarkStart w:id="2" w:name="_GoBack"/>
      <w:bookmarkEnd w:id="2"/>
    </w:p>
    <w:p w14:paraId="26E07619">
      <w:pPr>
        <w:pStyle w:val="2"/>
        <w:numPr>
          <w:ilvl w:val="0"/>
          <w:numId w:val="0"/>
        </w:numPr>
        <w:spacing w:line="336" w:lineRule="auto"/>
        <w:ind w:firstLine="482" w:firstLineChars="200"/>
        <w:jc w:val="left"/>
        <w:outlineLvl w:val="9"/>
        <w:rPr>
          <w:rFonts w:hint="eastAsia" w:ascii="仿宋" w:hAnsi="仿宋" w:eastAsia="仿宋" w:cs="仿宋"/>
          <w:b/>
          <w:bCs/>
          <w:color w:val="auto"/>
          <w:sz w:val="24"/>
          <w:szCs w:val="24"/>
          <w:highlight w:val="none"/>
          <w:lang w:val="en-US" w:eastAsia="zh-CN"/>
        </w:rPr>
      </w:pPr>
      <w:bookmarkStart w:id="1" w:name="heading_23"/>
      <w:r>
        <w:rPr>
          <w:rFonts w:hint="eastAsia" w:ascii="仿宋" w:hAnsi="仿宋" w:eastAsia="仿宋" w:cs="仿宋"/>
          <w:b/>
          <w:bCs/>
          <w:color w:val="auto"/>
          <w:sz w:val="24"/>
          <w:szCs w:val="24"/>
          <w:highlight w:val="none"/>
          <w:lang w:val="en-US" w:eastAsia="zh-CN"/>
        </w:rPr>
        <w:t>1、消防安全巡查</w:t>
      </w:r>
    </w:p>
    <w:p w14:paraId="2A07DFBA">
      <w:pPr>
        <w:pStyle w:val="2"/>
        <w:numPr>
          <w:ilvl w:val="0"/>
          <w:numId w:val="0"/>
        </w:numPr>
        <w:spacing w:line="336" w:lineRule="auto"/>
        <w:ind w:left="0" w:firstLine="480" w:firstLineChars="200"/>
        <w:jc w:val="left"/>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负责宣传消防法律法规、方针政策及相关要求，对南河沿、老航仪、横街、鲍家弄、陈家弄、团团河、车水弄定时巡查，发现各类消防事故隐患问题，同时做好巡查记录并按期复查，对拒不整改的及时报街道有关职能部门协调解决。</w:t>
      </w:r>
    </w:p>
    <w:p w14:paraId="7E68D100">
      <w:pPr>
        <w:pStyle w:val="2"/>
        <w:numPr>
          <w:ilvl w:val="0"/>
          <w:numId w:val="0"/>
        </w:numPr>
        <w:spacing w:line="336" w:lineRule="auto"/>
        <w:ind w:left="0" w:firstLine="480" w:firstLineChars="200"/>
        <w:jc w:val="left"/>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定期对辖区店铺及居民进行消防安全知识技能宣传教育和培训，知道督促店铺、商家配备灭火器等消防设备，并进行灭火和应急疏散演练。</w:t>
      </w:r>
    </w:p>
    <w:p w14:paraId="1127CD99">
      <w:pPr>
        <w:pStyle w:val="2"/>
        <w:numPr>
          <w:ilvl w:val="0"/>
          <w:numId w:val="0"/>
        </w:numPr>
        <w:spacing w:line="336" w:lineRule="auto"/>
        <w:ind w:left="0" w:firstLine="480" w:firstLineChars="200"/>
        <w:jc w:val="left"/>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每月向采购人书面汇报本辖区消防工作及巡查计划完成情况。</w:t>
      </w:r>
    </w:p>
    <w:p w14:paraId="22D9C84C">
      <w:pPr>
        <w:pStyle w:val="2"/>
        <w:numPr>
          <w:ilvl w:val="0"/>
          <w:numId w:val="0"/>
        </w:numPr>
        <w:spacing w:line="336" w:lineRule="auto"/>
        <w:ind w:left="0" w:firstLine="480" w:firstLineChars="200"/>
        <w:jc w:val="left"/>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负责网格内消防隐患整改跟踪，处置网格信息员排查上报的消防隐患事件。</w:t>
      </w:r>
    </w:p>
    <w:p w14:paraId="0F304C33">
      <w:pPr>
        <w:pStyle w:val="2"/>
        <w:numPr>
          <w:ilvl w:val="0"/>
          <w:numId w:val="0"/>
        </w:numPr>
        <w:spacing w:line="336" w:lineRule="auto"/>
        <w:ind w:left="0" w:firstLine="480" w:firstLineChars="200"/>
        <w:jc w:val="left"/>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认真核查群众上报的消防案件，及时反馈给上级部门。</w:t>
      </w:r>
    </w:p>
    <w:p w14:paraId="75419BFC">
      <w:pPr>
        <w:pStyle w:val="2"/>
        <w:numPr>
          <w:ilvl w:val="0"/>
          <w:numId w:val="0"/>
        </w:numPr>
        <w:spacing w:line="336" w:lineRule="auto"/>
        <w:ind w:left="0" w:firstLine="480" w:firstLineChars="200"/>
        <w:jc w:val="left"/>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配合上级消防部门的工作，积极参加区、街道、社区组织的各类消防活动。</w:t>
      </w:r>
    </w:p>
    <w:p w14:paraId="2B8F7773">
      <w:pPr>
        <w:pStyle w:val="2"/>
        <w:spacing w:line="336" w:lineRule="auto"/>
        <w:ind w:left="0" w:leftChars="0" w:firstLine="480" w:firstLineChars="200"/>
        <w:jc w:val="left"/>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完成上级指派的其他消防巡查工作。</w:t>
      </w:r>
    </w:p>
    <w:p w14:paraId="0ED3596D">
      <w:pPr>
        <w:pStyle w:val="2"/>
        <w:numPr>
          <w:ilvl w:val="0"/>
          <w:numId w:val="0"/>
        </w:numPr>
        <w:spacing w:line="336" w:lineRule="auto"/>
        <w:ind w:firstLine="482" w:firstLineChars="200"/>
        <w:jc w:val="left"/>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2、消防救援</w:t>
      </w:r>
    </w:p>
    <w:p w14:paraId="321D00DB">
      <w:pPr>
        <w:pStyle w:val="2"/>
        <w:numPr>
          <w:ilvl w:val="0"/>
          <w:numId w:val="0"/>
        </w:numPr>
        <w:spacing w:line="336" w:lineRule="auto"/>
        <w:ind w:left="0" w:firstLine="480" w:firstLineChars="200"/>
        <w:jc w:val="left"/>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学习和掌握消防安全方面的法律、法规和方针政策以及消防火灾扑救方面的知识与技能，熟悉消防器材的使用与维护保养。</w:t>
      </w:r>
    </w:p>
    <w:p w14:paraId="69660905">
      <w:pPr>
        <w:pStyle w:val="2"/>
        <w:numPr>
          <w:ilvl w:val="0"/>
          <w:numId w:val="0"/>
        </w:numPr>
        <w:spacing w:line="336" w:lineRule="auto"/>
        <w:ind w:left="0" w:firstLine="480" w:firstLineChars="200"/>
        <w:jc w:val="left"/>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严格落实执勤战备要求，按规定值班制度，做好小型突发火灾事故应急处置。</w:t>
      </w:r>
    </w:p>
    <w:p w14:paraId="12CF7DA3">
      <w:pPr>
        <w:pStyle w:val="2"/>
        <w:numPr>
          <w:ilvl w:val="0"/>
          <w:numId w:val="0"/>
        </w:numPr>
        <w:spacing w:line="336" w:lineRule="auto"/>
        <w:ind w:left="0" w:firstLine="480" w:firstLineChars="200"/>
        <w:jc w:val="left"/>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定期开展灭火基本技能训练，熟悉本辖区情况，提高扑救初起火灾的能力。</w:t>
      </w:r>
    </w:p>
    <w:p w14:paraId="306A7820">
      <w:pPr>
        <w:pStyle w:val="2"/>
        <w:numPr>
          <w:ilvl w:val="0"/>
          <w:numId w:val="0"/>
        </w:numPr>
        <w:spacing w:line="336" w:lineRule="auto"/>
        <w:ind w:left="0" w:firstLine="480" w:firstLineChars="200"/>
        <w:jc w:val="left"/>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以救早、灭小和“十分钟到场”的扑救初起火灾为目标，按照职责参加初起火灾扑救工作。</w:t>
      </w:r>
    </w:p>
    <w:p w14:paraId="0D9456CA">
      <w:pPr>
        <w:pStyle w:val="2"/>
        <w:numPr>
          <w:ilvl w:val="0"/>
          <w:numId w:val="0"/>
        </w:numPr>
        <w:spacing w:line="336" w:lineRule="auto"/>
        <w:ind w:left="0" w:firstLine="480" w:firstLineChars="200"/>
        <w:jc w:val="left"/>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听从上级消防部门调遣，协助配合公安消防队、专职消防队扑救社会火灾。</w:t>
      </w:r>
    </w:p>
    <w:p w14:paraId="5E3F9EDF">
      <w:pPr>
        <w:pStyle w:val="2"/>
        <w:numPr>
          <w:ilvl w:val="0"/>
          <w:numId w:val="0"/>
        </w:numPr>
        <w:spacing w:line="336" w:lineRule="auto"/>
        <w:ind w:left="0" w:firstLine="480" w:firstLineChars="200"/>
        <w:jc w:val="left"/>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对本辖区内火灾事故，应及时向上级部门报告事故情况，并积极协助有关部门做好应急处置、现场保护、善后处理、调查取证等工作。</w:t>
      </w:r>
    </w:p>
    <w:p w14:paraId="31F91192">
      <w:pPr>
        <w:pStyle w:val="2"/>
        <w:numPr>
          <w:ilvl w:val="0"/>
          <w:numId w:val="0"/>
        </w:numPr>
        <w:spacing w:line="336" w:lineRule="auto"/>
        <w:ind w:left="0" w:firstLine="480" w:firstLineChars="200"/>
        <w:jc w:val="left"/>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及时反映消防工作中发现的隐患并做好火警信息的上报。</w:t>
      </w:r>
    </w:p>
    <w:p w14:paraId="4265BB69">
      <w:pPr>
        <w:pStyle w:val="2"/>
        <w:numPr>
          <w:ilvl w:val="0"/>
          <w:numId w:val="0"/>
        </w:numPr>
        <w:spacing w:line="336" w:lineRule="auto"/>
        <w:ind w:left="0" w:firstLine="480" w:firstLineChars="200"/>
        <w:jc w:val="left"/>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开展防火巡查，报告消防安全隐患，并提出消防安全隐患整改建议。</w:t>
      </w:r>
    </w:p>
    <w:p w14:paraId="5B1B9FA6">
      <w:pPr>
        <w:pStyle w:val="2"/>
        <w:numPr>
          <w:ilvl w:val="0"/>
          <w:numId w:val="0"/>
        </w:numPr>
        <w:spacing w:line="336" w:lineRule="auto"/>
        <w:ind w:firstLine="480" w:firstLineChars="200"/>
        <w:jc w:val="lef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完成上级指派的其他消防火灾扑救工作。</w:t>
      </w:r>
      <w:bookmarkEnd w:id="1"/>
    </w:p>
    <w:p w14:paraId="07F3185A">
      <w:pPr>
        <w:pStyle w:val="2"/>
        <w:numPr>
          <w:ilvl w:val="0"/>
          <w:numId w:val="0"/>
        </w:numPr>
        <w:spacing w:line="336" w:lineRule="auto"/>
        <w:ind w:firstLine="480"/>
        <w:outlineLvl w:val="9"/>
        <w:rPr>
          <w:rFonts w:hint="eastAsia" w:ascii="仿宋" w:hAnsi="仿宋" w:eastAsia="仿宋" w:cs="仿宋"/>
          <w:bCs w:val="0"/>
          <w:snapToGrid/>
          <w:color w:val="auto"/>
          <w:kern w:val="0"/>
          <w:sz w:val="24"/>
          <w:szCs w:val="24"/>
          <w:highlight w:val="none"/>
        </w:rPr>
      </w:pPr>
      <w:r>
        <w:rPr>
          <w:rFonts w:hint="eastAsia" w:ascii="仿宋" w:hAnsi="仿宋" w:eastAsia="仿宋" w:cs="仿宋"/>
          <w:bCs w:val="0"/>
          <w:snapToGrid/>
          <w:color w:val="auto"/>
          <w:kern w:val="0"/>
          <w:sz w:val="24"/>
          <w:szCs w:val="24"/>
          <w:highlight w:val="none"/>
        </w:rPr>
        <w:t>有承诺接到</w:t>
      </w:r>
      <w:r>
        <w:rPr>
          <w:rFonts w:hint="eastAsia" w:ascii="仿宋" w:hAnsi="仿宋" w:eastAsia="仿宋" w:cs="仿宋"/>
          <w:bCs w:val="0"/>
          <w:snapToGrid/>
          <w:color w:val="auto"/>
          <w:kern w:val="0"/>
          <w:sz w:val="24"/>
          <w:szCs w:val="24"/>
          <w:highlight w:val="none"/>
          <w:lang w:eastAsia="zh-CN"/>
        </w:rPr>
        <w:t>招标人</w:t>
      </w:r>
      <w:r>
        <w:rPr>
          <w:rFonts w:hint="eastAsia" w:ascii="仿宋" w:hAnsi="仿宋" w:eastAsia="仿宋" w:cs="仿宋"/>
          <w:bCs w:val="0"/>
          <w:snapToGrid/>
          <w:color w:val="auto"/>
          <w:kern w:val="0"/>
          <w:sz w:val="24"/>
          <w:szCs w:val="24"/>
          <w:highlight w:val="none"/>
        </w:rPr>
        <w:t>应急</w:t>
      </w:r>
      <w:r>
        <w:rPr>
          <w:rFonts w:hint="eastAsia" w:ascii="仿宋" w:hAnsi="仿宋" w:eastAsia="仿宋" w:cs="仿宋"/>
          <w:bCs w:val="0"/>
          <w:snapToGrid/>
          <w:color w:val="auto"/>
          <w:kern w:val="0"/>
          <w:sz w:val="24"/>
          <w:szCs w:val="24"/>
          <w:highlight w:val="none"/>
          <w:lang w:eastAsia="zh-CN"/>
        </w:rPr>
        <w:t>消防</w:t>
      </w:r>
      <w:r>
        <w:rPr>
          <w:rFonts w:hint="eastAsia" w:ascii="仿宋" w:hAnsi="仿宋" w:eastAsia="仿宋" w:cs="仿宋"/>
          <w:color w:val="auto"/>
          <w:sz w:val="24"/>
          <w:szCs w:val="24"/>
          <w:highlight w:val="none"/>
          <w:lang w:val="en-US" w:eastAsia="zh-CN"/>
        </w:rPr>
        <w:t>处置</w:t>
      </w:r>
      <w:r>
        <w:rPr>
          <w:rFonts w:hint="eastAsia" w:ascii="仿宋" w:hAnsi="仿宋" w:eastAsia="仿宋" w:cs="仿宋"/>
          <w:bCs w:val="0"/>
          <w:snapToGrid/>
          <w:color w:val="auto"/>
          <w:kern w:val="0"/>
          <w:sz w:val="24"/>
          <w:szCs w:val="24"/>
          <w:highlight w:val="none"/>
        </w:rPr>
        <w:t>通知之时起，</w:t>
      </w:r>
      <w:r>
        <w:rPr>
          <w:rFonts w:hint="eastAsia" w:ascii="仿宋" w:hAnsi="仿宋" w:eastAsia="仿宋" w:cs="仿宋"/>
          <w:bCs w:val="0"/>
          <w:snapToGrid/>
          <w:color w:val="auto"/>
          <w:kern w:val="0"/>
          <w:sz w:val="24"/>
          <w:szCs w:val="24"/>
          <w:highlight w:val="none"/>
          <w:lang w:val="en-US" w:eastAsia="zh-CN"/>
        </w:rPr>
        <w:t>尽快</w:t>
      </w:r>
      <w:r>
        <w:rPr>
          <w:rFonts w:hint="eastAsia" w:ascii="仿宋" w:hAnsi="仿宋" w:eastAsia="仿宋" w:cs="仿宋"/>
          <w:bCs w:val="0"/>
          <w:snapToGrid/>
          <w:color w:val="auto"/>
          <w:kern w:val="0"/>
          <w:sz w:val="24"/>
          <w:szCs w:val="24"/>
          <w:highlight w:val="none"/>
        </w:rPr>
        <w:t>能达到现场，并能展开</w:t>
      </w:r>
      <w:r>
        <w:rPr>
          <w:rFonts w:hint="eastAsia" w:ascii="仿宋" w:hAnsi="仿宋" w:eastAsia="仿宋" w:cs="仿宋"/>
          <w:color w:val="auto"/>
          <w:sz w:val="24"/>
          <w:szCs w:val="24"/>
          <w:highlight w:val="none"/>
          <w:lang w:val="en-US" w:eastAsia="zh-CN"/>
        </w:rPr>
        <w:t>处置</w:t>
      </w:r>
      <w:r>
        <w:rPr>
          <w:rFonts w:hint="eastAsia" w:ascii="仿宋" w:hAnsi="仿宋" w:eastAsia="仿宋" w:cs="仿宋"/>
          <w:bCs w:val="0"/>
          <w:snapToGrid/>
          <w:color w:val="auto"/>
          <w:kern w:val="0"/>
          <w:sz w:val="24"/>
          <w:szCs w:val="24"/>
          <w:highlight w:val="none"/>
        </w:rPr>
        <w:t>工作或提出实质性解决方案。</w:t>
      </w:r>
    </w:p>
    <w:p w14:paraId="4DBF058E">
      <w:pPr>
        <w:snapToGrid w:val="0"/>
        <w:spacing w:line="336" w:lineRule="auto"/>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32"/>
          <w:szCs w:val="32"/>
          <w:highlight w:val="none"/>
          <w:lang w:eastAsia="zh-CN"/>
        </w:rPr>
        <w:t>三</w:t>
      </w:r>
      <w:r>
        <w:rPr>
          <w:rFonts w:hint="eastAsia" w:ascii="仿宋" w:hAnsi="仿宋" w:eastAsia="仿宋" w:cs="仿宋"/>
          <w:b/>
          <w:bCs/>
          <w:color w:val="auto"/>
          <w:sz w:val="32"/>
          <w:szCs w:val="32"/>
          <w:highlight w:val="none"/>
        </w:rPr>
        <w:t>、</w:t>
      </w:r>
      <w:r>
        <w:rPr>
          <w:rFonts w:hint="eastAsia" w:ascii="仿宋" w:hAnsi="仿宋" w:eastAsia="仿宋" w:cs="仿宋"/>
          <w:b/>
          <w:bCs/>
          <w:color w:val="auto"/>
          <w:sz w:val="32"/>
          <w:szCs w:val="32"/>
          <w:highlight w:val="none"/>
          <w:lang w:eastAsia="zh-CN"/>
        </w:rPr>
        <w:t>作业</w:t>
      </w:r>
      <w:r>
        <w:rPr>
          <w:rFonts w:hint="eastAsia" w:ascii="仿宋" w:hAnsi="仿宋" w:eastAsia="仿宋" w:cs="仿宋"/>
          <w:b/>
          <w:bCs/>
          <w:color w:val="auto"/>
          <w:sz w:val="32"/>
          <w:szCs w:val="32"/>
          <w:highlight w:val="none"/>
          <w:lang w:val="en-US" w:eastAsia="zh-CN"/>
        </w:rPr>
        <w:t>范围</w:t>
      </w:r>
    </w:p>
    <w:p w14:paraId="413B1754">
      <w:pPr>
        <w:pStyle w:val="2"/>
        <w:keepNext w:val="0"/>
        <w:keepLines w:val="0"/>
        <w:pageBreakBefore w:val="0"/>
        <w:widowControl/>
        <w:numPr>
          <w:ilvl w:val="0"/>
          <w:numId w:val="0"/>
        </w:numPr>
        <w:kinsoku/>
        <w:wordWrap/>
        <w:overflowPunct/>
        <w:topLinePunct w:val="0"/>
        <w:autoSpaceDE/>
        <w:autoSpaceDN/>
        <w:bidi w:val="0"/>
        <w:adjustRightInd/>
        <w:snapToGrid/>
        <w:spacing w:after="0" w:line="336" w:lineRule="auto"/>
        <w:ind w:left="0" w:leftChars="0" w:firstLine="480" w:firstLineChars="200"/>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五星街道南河沿等周边指定地块区域。</w:t>
      </w:r>
    </w:p>
    <w:p w14:paraId="26A95BAA">
      <w:pPr>
        <w:pStyle w:val="2"/>
        <w:keepNext w:val="0"/>
        <w:keepLines w:val="0"/>
        <w:pageBreakBefore w:val="0"/>
        <w:widowControl/>
        <w:numPr>
          <w:ilvl w:val="0"/>
          <w:numId w:val="0"/>
        </w:numPr>
        <w:kinsoku/>
        <w:wordWrap/>
        <w:overflowPunct/>
        <w:topLinePunct w:val="0"/>
        <w:autoSpaceDE/>
        <w:autoSpaceDN/>
        <w:bidi w:val="0"/>
        <w:adjustRightInd/>
        <w:snapToGrid/>
        <w:spacing w:after="0" w:line="336" w:lineRule="auto"/>
        <w:ind w:left="0" w:leftChars="0" w:firstLine="480" w:firstLineChars="200"/>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1、上述范围为目前作业范围，仅供参考，乙方应前期对本项目作业范围自行现场踏勘，充分了解作业范围及服务标准及要求，甲方有权根据实际情况进行辖区内工作范围的调整。</w:t>
      </w:r>
    </w:p>
    <w:p w14:paraId="70D20D4D">
      <w:pPr>
        <w:pStyle w:val="2"/>
        <w:keepNext w:val="0"/>
        <w:keepLines w:val="0"/>
        <w:pageBreakBefore w:val="0"/>
        <w:widowControl/>
        <w:numPr>
          <w:ilvl w:val="0"/>
          <w:numId w:val="0"/>
        </w:numPr>
        <w:kinsoku/>
        <w:wordWrap/>
        <w:overflowPunct/>
        <w:topLinePunct w:val="0"/>
        <w:autoSpaceDE/>
        <w:autoSpaceDN/>
        <w:bidi w:val="0"/>
        <w:adjustRightInd/>
        <w:snapToGrid/>
        <w:spacing w:after="0" w:line="336" w:lineRule="auto"/>
        <w:ind w:left="0" w:leftChars="0" w:firstLine="480" w:firstLineChars="200"/>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2、投标人必须承诺：</w:t>
      </w:r>
    </w:p>
    <w:p w14:paraId="486A2421">
      <w:pPr>
        <w:pStyle w:val="2"/>
        <w:keepNext w:val="0"/>
        <w:keepLines w:val="0"/>
        <w:pageBreakBefore w:val="0"/>
        <w:widowControl/>
        <w:numPr>
          <w:ilvl w:val="0"/>
          <w:numId w:val="0"/>
        </w:numPr>
        <w:kinsoku/>
        <w:wordWrap/>
        <w:overflowPunct/>
        <w:topLinePunct w:val="0"/>
        <w:autoSpaceDE/>
        <w:autoSpaceDN/>
        <w:bidi w:val="0"/>
        <w:adjustRightInd/>
        <w:snapToGrid/>
        <w:spacing w:after="0" w:line="336" w:lineRule="auto"/>
        <w:ind w:left="0" w:leftChars="0" w:firstLine="480" w:firstLineChars="200"/>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SA"/>
        </w:rPr>
        <w:t>（1）</w:t>
      </w:r>
      <w:r>
        <w:rPr>
          <w:rFonts w:hint="eastAsia" w:ascii="仿宋" w:hAnsi="仿宋" w:eastAsia="仿宋" w:cs="仿宋"/>
          <w:color w:val="auto"/>
          <w:sz w:val="24"/>
          <w:szCs w:val="24"/>
          <w:highlight w:val="none"/>
          <w:lang w:val="en-US" w:eastAsia="zh-CN"/>
        </w:rPr>
        <w:t>具体工作范围，招标人可根据实际情况进行调整，投标人承诺对此无条件响应。</w:t>
      </w:r>
    </w:p>
    <w:p w14:paraId="743DECE2">
      <w:pPr>
        <w:pStyle w:val="2"/>
        <w:keepNext w:val="0"/>
        <w:keepLines w:val="0"/>
        <w:pageBreakBefore w:val="0"/>
        <w:widowControl/>
        <w:numPr>
          <w:ilvl w:val="0"/>
          <w:numId w:val="0"/>
        </w:numPr>
        <w:kinsoku/>
        <w:wordWrap/>
        <w:overflowPunct/>
        <w:topLinePunct w:val="0"/>
        <w:autoSpaceDE/>
        <w:autoSpaceDN/>
        <w:bidi w:val="0"/>
        <w:adjustRightInd/>
        <w:snapToGrid/>
        <w:spacing w:after="0" w:line="336" w:lineRule="auto"/>
        <w:ind w:left="0" w:leftChars="0" w:firstLine="480" w:firstLineChars="200"/>
        <w:jc w:val="left"/>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SA"/>
        </w:rPr>
        <w:t>（2）</w:t>
      </w:r>
      <w:r>
        <w:rPr>
          <w:rFonts w:hint="eastAsia" w:ascii="仿宋" w:hAnsi="仿宋" w:eastAsia="仿宋" w:cs="仿宋"/>
          <w:color w:val="auto"/>
          <w:sz w:val="24"/>
          <w:szCs w:val="24"/>
          <w:highlight w:val="none"/>
          <w:lang w:val="en-US" w:eastAsia="zh-CN"/>
        </w:rPr>
        <w:t>服务期内，对调整的区域作业作出无条件响应并接受招标人及有关部门的考核，未按要求服务的，接受并承担相关考核罚款。</w:t>
      </w:r>
    </w:p>
    <w:p w14:paraId="56E43293">
      <w:pPr>
        <w:snapToGrid w:val="0"/>
        <w:spacing w:line="336" w:lineRule="auto"/>
        <w:ind w:firstLine="240" w:firstLineChars="1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（3）服务期内，对上述区域外可能调整新增区域的作业服务作出无条件响应，但服务费用不因此而增加，愿无偿承担此可能预期增加的所有费用。</w:t>
      </w:r>
    </w:p>
    <w:p w14:paraId="641AAAB1">
      <w:pPr>
        <w:numPr>
          <w:ilvl w:val="0"/>
          <w:numId w:val="0"/>
        </w:numPr>
        <w:snapToGrid w:val="0"/>
        <w:spacing w:line="336" w:lineRule="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四、人员、设备要求</w:t>
      </w:r>
    </w:p>
    <w:p w14:paraId="2B58FFDE">
      <w:pPr>
        <w:pStyle w:val="4"/>
        <w:spacing w:line="336" w:lineRule="auto"/>
        <w:ind w:firstLine="480" w:firstLineChars="200"/>
        <w:rPr>
          <w:rFonts w:hint="default" w:ascii="仿宋" w:hAnsi="仿宋" w:eastAsia="仿宋" w:cs="仿宋"/>
          <w:color w:val="auto"/>
          <w:kern w:val="0"/>
          <w:szCs w:val="24"/>
          <w:highlight w:val="none"/>
          <w:lang w:val="en-US" w:eastAsia="zh-CN"/>
        </w:rPr>
      </w:pPr>
      <w:r>
        <w:rPr>
          <w:rFonts w:hint="default" w:ascii="仿宋" w:hAnsi="仿宋" w:eastAsia="仿宋" w:cs="仿宋"/>
          <w:b w:val="0"/>
          <w:bCs w:val="0"/>
          <w:color w:val="auto"/>
          <w:kern w:val="0"/>
          <w:sz w:val="24"/>
          <w:szCs w:val="24"/>
          <w:highlight w:val="none"/>
          <w:lang w:val="en-US" w:eastAsia="zh-CN"/>
        </w:rPr>
        <w:t>（一）人员配置基本要求（人数不少于基本要求）</w:t>
      </w:r>
    </w:p>
    <w:p w14:paraId="7C9494F6">
      <w:pPr>
        <w:pStyle w:val="2"/>
        <w:numPr>
          <w:ilvl w:val="0"/>
          <w:numId w:val="0"/>
        </w:numPr>
        <w:spacing w:after="0" w:line="336" w:lineRule="auto"/>
        <w:ind w:left="0" w:firstLine="480" w:firstLineChars="200"/>
        <w:jc w:val="left"/>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1.巡逻队长1名，男，身体健康，有责任心，有管理经验。</w:t>
      </w:r>
    </w:p>
    <w:p w14:paraId="3855A564">
      <w:pPr>
        <w:snapToGrid w:val="0"/>
        <w:spacing w:before="0" w:after="0" w:line="336" w:lineRule="auto"/>
        <w:ind w:left="0" w:firstLine="48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2.巡逻人员2名，男，身体健康，有责任心，工作认真。</w:t>
      </w:r>
    </w:p>
    <w:p w14:paraId="79EF1DEA">
      <w:pPr>
        <w:snapToGrid w:val="0"/>
        <w:spacing w:before="0" w:after="0" w:line="336" w:lineRule="auto"/>
        <w:ind w:left="0" w:firstLine="480" w:firstLineChars="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（二）车辆基本要求</w:t>
      </w:r>
      <w:r>
        <w:rPr>
          <w:rFonts w:hint="default" w:ascii="仿宋" w:hAnsi="仿宋" w:eastAsia="仿宋" w:cs="仿宋"/>
          <w:b w:val="0"/>
          <w:bCs w:val="0"/>
          <w:color w:val="auto"/>
          <w:kern w:val="0"/>
          <w:sz w:val="24"/>
          <w:szCs w:val="24"/>
          <w:highlight w:val="none"/>
          <w:lang w:val="en-US" w:eastAsia="zh-CN"/>
        </w:rPr>
        <w:t>（</w:t>
      </w:r>
      <w:r>
        <w:rPr>
          <w:rFonts w:hint="eastAsia" w:ascii="仿宋" w:hAnsi="仿宋" w:eastAsia="仿宋" w:cs="仿宋"/>
          <w:b w:val="0"/>
          <w:bCs w:val="0"/>
          <w:color w:val="auto"/>
          <w:kern w:val="0"/>
          <w:sz w:val="24"/>
          <w:szCs w:val="24"/>
          <w:highlight w:val="none"/>
          <w:lang w:val="en-US" w:eastAsia="zh-CN"/>
        </w:rPr>
        <w:t>车辆</w:t>
      </w:r>
      <w:r>
        <w:rPr>
          <w:rFonts w:hint="default" w:ascii="仿宋" w:hAnsi="仿宋" w:eastAsia="仿宋" w:cs="仿宋"/>
          <w:b w:val="0"/>
          <w:bCs w:val="0"/>
          <w:color w:val="auto"/>
          <w:kern w:val="0"/>
          <w:sz w:val="24"/>
          <w:szCs w:val="24"/>
          <w:highlight w:val="none"/>
          <w:lang w:val="en-US" w:eastAsia="zh-CN"/>
        </w:rPr>
        <w:t>不少于基本要求）</w:t>
      </w:r>
    </w:p>
    <w:p w14:paraId="2FE51929">
      <w:pPr>
        <w:pStyle w:val="2"/>
        <w:numPr>
          <w:ilvl w:val="0"/>
          <w:numId w:val="0"/>
        </w:numPr>
        <w:spacing w:after="0" w:line="336" w:lineRule="auto"/>
        <w:ind w:firstLine="480" w:firstLineChars="200"/>
        <w:jc w:val="left"/>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消防车数量：小型消防四轮车1辆，小型消防三轮车1辆。</w:t>
      </w:r>
    </w:p>
    <w:p w14:paraId="32E5345D">
      <w:pPr>
        <w:pStyle w:val="2"/>
        <w:numPr>
          <w:ilvl w:val="0"/>
          <w:numId w:val="0"/>
        </w:numPr>
        <w:spacing w:after="0" w:line="336" w:lineRule="auto"/>
        <w:ind w:firstLine="480" w:firstLineChars="200"/>
        <w:jc w:val="left"/>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规格：其中小型消防四轮车辆水箱容积不低于1.3立方米。额定乘员不低于2人，因老旧小区道路狭窄，要求车辆宽度不长于1.6米。</w:t>
      </w:r>
    </w:p>
    <w:p w14:paraId="4942C777">
      <w:pPr>
        <w:pStyle w:val="2"/>
        <w:numPr>
          <w:ilvl w:val="0"/>
          <w:numId w:val="0"/>
        </w:numPr>
        <w:spacing w:after="0" w:line="336" w:lineRule="auto"/>
        <w:ind w:firstLine="480" w:firstLineChars="200"/>
        <w:jc w:val="left"/>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配置要求：高压水泡灭火射程30米以上，消防水枪、消防锤、消防斧、消防铁锹、消防钳、消防水带、消防栓扳手、消防呼吸器、干粉灭火器、手电筒、消防手套、安全腰带、消防靴、消防头盔等消防设备，集LED爆闪长排警灯、警笛扬声器和喊话器。</w:t>
      </w:r>
    </w:p>
    <w:p w14:paraId="4C82DE30">
      <w:pPr>
        <w:pStyle w:val="2"/>
        <w:numPr>
          <w:ilvl w:val="0"/>
          <w:numId w:val="0"/>
        </w:numPr>
        <w:spacing w:after="0" w:line="336" w:lineRule="auto"/>
        <w:ind w:firstLine="482" w:firstLineChars="200"/>
        <w:jc w:val="left"/>
        <w:outlineLvl w:val="9"/>
        <w:rPr>
          <w:rFonts w:hint="eastAsia" w:ascii="仿宋" w:hAnsi="仿宋" w:eastAsia="仿宋" w:cs="仿宋"/>
          <w:b/>
          <w:bCs/>
          <w:color w:val="auto"/>
          <w:sz w:val="24"/>
          <w:szCs w:val="24"/>
          <w:highlight w:val="none"/>
          <w:u w:val="single"/>
          <w:lang w:val="en-US" w:eastAsia="zh-CN"/>
        </w:rPr>
      </w:pPr>
      <w:r>
        <w:rPr>
          <w:rFonts w:hint="eastAsia" w:ascii="仿宋" w:hAnsi="仿宋" w:eastAsia="仿宋" w:cs="仿宋"/>
          <w:b/>
          <w:bCs/>
          <w:color w:val="auto"/>
          <w:sz w:val="24"/>
          <w:szCs w:val="24"/>
          <w:highlight w:val="none"/>
          <w:u w:val="single"/>
          <w:lang w:val="en-US" w:eastAsia="zh-CN"/>
        </w:rPr>
        <w:t>投标人自行配备消防车，项目履约完成后自行撤场，招标人不再承担车辆维修、保险、油耗、折旧等任何相关费用。</w:t>
      </w:r>
    </w:p>
    <w:p w14:paraId="311E0E98">
      <w:pPr>
        <w:spacing w:line="336" w:lineRule="auto"/>
        <w:ind w:firstLine="480" w:firstLineChars="200"/>
        <w:rPr>
          <w:rFonts w:hint="eastAsia" w:ascii="仿宋" w:hAnsi="仿宋" w:eastAsia="仿宋" w:cs="仿宋"/>
          <w:color w:val="auto"/>
          <w:kern w:val="0"/>
          <w:sz w:val="24"/>
          <w:highlight w:val="none"/>
          <w:lang w:val="en-US" w:eastAsia="zh-CN"/>
        </w:rPr>
      </w:pPr>
      <w:r>
        <w:rPr>
          <w:rFonts w:hint="eastAsia" w:ascii="仿宋" w:hAnsi="仿宋" w:eastAsia="仿宋" w:cs="仿宋"/>
          <w:b w:val="0"/>
          <w:bCs w:val="0"/>
          <w:color w:val="auto"/>
          <w:kern w:val="0"/>
          <w:sz w:val="24"/>
          <w:szCs w:val="24"/>
          <w:highlight w:val="none"/>
          <w:lang w:val="en-US" w:eastAsia="zh-CN"/>
        </w:rPr>
        <w:t>（三）设备基本要求</w:t>
      </w:r>
      <w:r>
        <w:rPr>
          <w:rFonts w:hint="default" w:ascii="仿宋" w:hAnsi="仿宋" w:eastAsia="仿宋" w:cs="仿宋"/>
          <w:b w:val="0"/>
          <w:bCs w:val="0"/>
          <w:color w:val="auto"/>
          <w:kern w:val="0"/>
          <w:sz w:val="24"/>
          <w:szCs w:val="24"/>
          <w:highlight w:val="none"/>
          <w:lang w:val="en-US" w:eastAsia="zh-CN"/>
        </w:rPr>
        <w:t>（</w:t>
      </w:r>
      <w:r>
        <w:rPr>
          <w:rFonts w:hint="eastAsia" w:ascii="仿宋" w:hAnsi="仿宋" w:eastAsia="仿宋" w:cs="仿宋"/>
          <w:b w:val="0"/>
          <w:bCs w:val="0"/>
          <w:color w:val="auto"/>
          <w:kern w:val="0"/>
          <w:sz w:val="24"/>
          <w:szCs w:val="24"/>
          <w:highlight w:val="none"/>
          <w:lang w:val="en-US" w:eastAsia="zh-CN"/>
        </w:rPr>
        <w:t>设备</w:t>
      </w:r>
      <w:r>
        <w:rPr>
          <w:rFonts w:hint="default" w:ascii="仿宋" w:hAnsi="仿宋" w:eastAsia="仿宋" w:cs="仿宋"/>
          <w:b w:val="0"/>
          <w:bCs w:val="0"/>
          <w:color w:val="auto"/>
          <w:kern w:val="0"/>
          <w:sz w:val="24"/>
          <w:szCs w:val="24"/>
          <w:highlight w:val="none"/>
          <w:lang w:val="en-US" w:eastAsia="zh-CN"/>
        </w:rPr>
        <w:t>不少于基本要求）</w:t>
      </w:r>
    </w:p>
    <w:p w14:paraId="650C2579">
      <w:pPr>
        <w:pStyle w:val="2"/>
        <w:numPr>
          <w:ilvl w:val="0"/>
          <w:numId w:val="0"/>
        </w:numPr>
        <w:spacing w:after="0" w:line="336" w:lineRule="auto"/>
        <w:ind w:firstLine="480" w:firstLineChars="200"/>
        <w:jc w:val="left"/>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数量要求：消防应急包</w:t>
      </w:r>
      <w:r>
        <w:rPr>
          <w:rFonts w:hint="eastAsia" w:ascii="仿宋" w:hAnsi="仿宋" w:eastAsia="仿宋" w:cs="仿宋"/>
          <w:color w:val="auto"/>
          <w:sz w:val="24"/>
          <w:szCs w:val="24"/>
          <w:highlight w:val="none"/>
          <w:lang w:val="en-US" w:eastAsia="zh-CN"/>
        </w:rPr>
        <w:t>2个</w:t>
      </w:r>
      <w:r>
        <w:rPr>
          <w:rFonts w:hint="eastAsia" w:ascii="仿宋" w:hAnsi="仿宋" w:eastAsia="仿宋" w:cs="仿宋"/>
          <w:color w:val="auto"/>
          <w:sz w:val="24"/>
          <w:szCs w:val="24"/>
          <w:highlight w:val="none"/>
          <w:lang w:eastAsia="zh-CN"/>
        </w:rPr>
        <w:t>、氧气包</w:t>
      </w:r>
      <w:r>
        <w:rPr>
          <w:rFonts w:hint="eastAsia" w:ascii="仿宋" w:hAnsi="仿宋" w:eastAsia="仿宋" w:cs="仿宋"/>
          <w:color w:val="auto"/>
          <w:sz w:val="24"/>
          <w:szCs w:val="24"/>
          <w:highlight w:val="none"/>
          <w:lang w:val="en-US" w:eastAsia="zh-CN"/>
        </w:rPr>
        <w:t>2个</w:t>
      </w:r>
      <w:r>
        <w:rPr>
          <w:rFonts w:hint="eastAsia" w:ascii="仿宋" w:hAnsi="仿宋" w:eastAsia="仿宋" w:cs="仿宋"/>
          <w:color w:val="auto"/>
          <w:sz w:val="24"/>
          <w:szCs w:val="24"/>
          <w:highlight w:val="none"/>
          <w:lang w:eastAsia="zh-CN"/>
        </w:rPr>
        <w:t>、应急扬声器</w:t>
      </w:r>
      <w:r>
        <w:rPr>
          <w:rFonts w:hint="eastAsia" w:ascii="仿宋" w:hAnsi="仿宋" w:eastAsia="仿宋" w:cs="仿宋"/>
          <w:color w:val="auto"/>
          <w:sz w:val="24"/>
          <w:szCs w:val="24"/>
          <w:highlight w:val="none"/>
          <w:lang w:val="en-US" w:eastAsia="zh-CN"/>
        </w:rPr>
        <w:t>1个</w:t>
      </w:r>
      <w:r>
        <w:rPr>
          <w:rFonts w:hint="eastAsia" w:ascii="仿宋" w:hAnsi="仿宋" w:eastAsia="仿宋" w:cs="仿宋"/>
          <w:color w:val="auto"/>
          <w:sz w:val="24"/>
          <w:szCs w:val="24"/>
          <w:highlight w:val="none"/>
          <w:lang w:eastAsia="zh-CN"/>
        </w:rPr>
        <w:t>、消防斧</w:t>
      </w:r>
      <w:r>
        <w:rPr>
          <w:rFonts w:hint="eastAsia" w:ascii="仿宋" w:hAnsi="仿宋" w:eastAsia="仿宋" w:cs="仿宋"/>
          <w:color w:val="auto"/>
          <w:sz w:val="24"/>
          <w:szCs w:val="24"/>
          <w:highlight w:val="none"/>
          <w:lang w:val="en-US" w:eastAsia="zh-CN"/>
        </w:rPr>
        <w:t>2把</w:t>
      </w:r>
      <w:r>
        <w:rPr>
          <w:rFonts w:hint="eastAsia" w:ascii="仿宋" w:hAnsi="仿宋" w:eastAsia="仿宋" w:cs="仿宋"/>
          <w:color w:val="auto"/>
          <w:sz w:val="24"/>
          <w:szCs w:val="24"/>
          <w:highlight w:val="none"/>
          <w:lang w:eastAsia="zh-CN"/>
        </w:rPr>
        <w:t>、应急警戒</w:t>
      </w:r>
      <w:r>
        <w:rPr>
          <w:rFonts w:hint="eastAsia" w:ascii="仿宋" w:hAnsi="仿宋" w:eastAsia="仿宋" w:cs="仿宋"/>
          <w:color w:val="auto"/>
          <w:sz w:val="24"/>
          <w:szCs w:val="24"/>
          <w:highlight w:val="none"/>
          <w:lang w:val="en-US" w:eastAsia="zh-CN"/>
        </w:rPr>
        <w:t>2卷</w:t>
      </w:r>
      <w:r>
        <w:rPr>
          <w:rFonts w:hint="eastAsia" w:ascii="仿宋" w:hAnsi="仿宋" w:eastAsia="仿宋" w:cs="仿宋"/>
          <w:color w:val="auto"/>
          <w:sz w:val="24"/>
          <w:szCs w:val="24"/>
          <w:highlight w:val="none"/>
          <w:lang w:eastAsia="zh-CN"/>
        </w:rPr>
        <w:t>带、应急手电</w:t>
      </w:r>
      <w:r>
        <w:rPr>
          <w:rFonts w:hint="eastAsia" w:ascii="仿宋" w:hAnsi="仿宋" w:eastAsia="仿宋" w:cs="仿宋"/>
          <w:color w:val="auto"/>
          <w:sz w:val="24"/>
          <w:szCs w:val="24"/>
          <w:highlight w:val="none"/>
          <w:lang w:val="en-US" w:eastAsia="zh-CN"/>
        </w:rPr>
        <w:t>2只</w:t>
      </w:r>
      <w:r>
        <w:rPr>
          <w:rFonts w:hint="eastAsia" w:ascii="仿宋" w:hAnsi="仿宋" w:eastAsia="仿宋" w:cs="仿宋"/>
          <w:color w:val="auto"/>
          <w:sz w:val="24"/>
          <w:szCs w:val="24"/>
          <w:highlight w:val="none"/>
          <w:lang w:eastAsia="zh-CN"/>
        </w:rPr>
        <w:t>、消防水带4支、ABC干粉灭火器12支（4KG)、杜邦特强防护服4套、二氧化碳灭火器8支（8KG)、适用用于电器火灾干粉灭火器3支、消防头盔4个、消防战斗靴4双、消防防护手套4双、消防梯2个、干粉灭火弹（8公斤)20个、应急医疗箱1个。</w:t>
      </w:r>
    </w:p>
    <w:p w14:paraId="60F1C115">
      <w:pPr>
        <w:pStyle w:val="2"/>
        <w:numPr>
          <w:ilvl w:val="0"/>
          <w:numId w:val="0"/>
        </w:numPr>
        <w:spacing w:after="0" w:line="336" w:lineRule="auto"/>
        <w:ind w:firstLine="480" w:firstLineChars="200"/>
        <w:jc w:val="left"/>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技术要求：满足国家相关消防要求，满足项目需求。</w:t>
      </w:r>
    </w:p>
    <w:p w14:paraId="366945BF">
      <w:pPr>
        <w:snapToGrid w:val="0"/>
        <w:spacing w:line="336" w:lineRule="auto"/>
        <w:ind w:firstLine="480" w:firstLineChars="0"/>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24"/>
          <w:szCs w:val="24"/>
          <w:highlight w:val="none"/>
          <w:u w:val="single"/>
          <w:lang w:val="en-US" w:eastAsia="zh-CN"/>
        </w:rPr>
        <w:t>投标人自行配备消防设备，项目履约完成后自行撤场，招标人不再承担设备维修、保险、折旧等任何相关费用。</w:t>
      </w:r>
    </w:p>
    <w:p w14:paraId="22D89A52">
      <w:pPr>
        <w:snapToGrid w:val="0"/>
        <w:spacing w:line="336" w:lineRule="auto"/>
        <w:rPr>
          <w:rFonts w:hint="eastAsia" w:ascii="仿宋" w:hAnsi="仿宋" w:eastAsia="仿宋" w:cs="仿宋"/>
          <w:b/>
          <w:bCs/>
          <w:color w:val="auto"/>
          <w:kern w:val="0"/>
          <w:sz w:val="32"/>
          <w:szCs w:val="32"/>
          <w:highlight w:val="none"/>
        </w:rPr>
      </w:pPr>
      <w:r>
        <w:rPr>
          <w:rFonts w:hint="eastAsia" w:ascii="仿宋" w:hAnsi="仿宋" w:eastAsia="仿宋" w:cs="仿宋"/>
          <w:b/>
          <w:bCs/>
          <w:color w:val="auto"/>
          <w:kern w:val="0"/>
          <w:sz w:val="32"/>
          <w:szCs w:val="32"/>
          <w:highlight w:val="none"/>
          <w:lang w:eastAsia="zh-CN"/>
        </w:rPr>
        <w:t>五</w:t>
      </w:r>
      <w:r>
        <w:rPr>
          <w:rFonts w:hint="eastAsia" w:ascii="仿宋" w:hAnsi="仿宋" w:eastAsia="仿宋" w:cs="仿宋"/>
          <w:b/>
          <w:bCs/>
          <w:color w:val="auto"/>
          <w:kern w:val="0"/>
          <w:sz w:val="32"/>
          <w:szCs w:val="32"/>
          <w:highlight w:val="none"/>
        </w:rPr>
        <w:t>、服务期限</w:t>
      </w:r>
    </w:p>
    <w:p w14:paraId="070B000C">
      <w:pPr>
        <w:snapToGrid w:val="0"/>
        <w:spacing w:line="336" w:lineRule="auto"/>
        <w:ind w:firstLine="480" w:firstLineChars="200"/>
        <w:rPr>
          <w:rFonts w:hint="eastAsia" w:ascii="仿宋" w:hAnsi="仿宋" w:eastAsia="仿宋" w:cs="仿宋"/>
          <w:b/>
          <w:bCs/>
          <w:color w:val="auto"/>
          <w:sz w:val="32"/>
          <w:szCs w:val="32"/>
          <w:highlight w:val="none"/>
          <w:lang w:val="en-US" w:eastAsia="zh-CN"/>
        </w:rPr>
      </w:pPr>
      <w:r>
        <w:rPr>
          <w:rFonts w:hint="eastAsia" w:ascii="仿宋" w:hAnsi="仿宋" w:eastAsia="仿宋" w:cs="仿宋"/>
          <w:color w:val="auto"/>
          <w:sz w:val="24"/>
          <w:szCs w:val="24"/>
          <w:highlight w:val="none"/>
        </w:rPr>
        <w:t>服务期限：</w:t>
      </w:r>
      <w:r>
        <w:rPr>
          <w:rFonts w:hint="eastAsia" w:ascii="仿宋" w:hAnsi="仿宋" w:eastAsia="仿宋" w:cs="仿宋"/>
          <w:color w:val="auto"/>
          <w:sz w:val="24"/>
          <w:szCs w:val="24"/>
          <w:highlight w:val="none"/>
          <w:lang w:val="en-US" w:eastAsia="zh-CN"/>
        </w:rPr>
        <w:t>贰</w:t>
      </w:r>
      <w:r>
        <w:rPr>
          <w:rFonts w:hint="eastAsia" w:ascii="仿宋" w:hAnsi="仿宋" w:eastAsia="仿宋" w:cs="仿宋"/>
          <w:color w:val="auto"/>
          <w:sz w:val="24"/>
          <w:szCs w:val="24"/>
          <w:highlight w:val="none"/>
        </w:rPr>
        <w:t>年，合同一年一签，每年根据考核情况决定是否续签。</w:t>
      </w:r>
    </w:p>
    <w:p w14:paraId="513181DD">
      <w:pPr>
        <w:snapToGrid w:val="0"/>
        <w:spacing w:line="336" w:lineRule="auto"/>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六、</w:t>
      </w:r>
      <w:r>
        <w:rPr>
          <w:rFonts w:hint="eastAsia" w:ascii="仿宋" w:hAnsi="仿宋" w:eastAsia="仿宋" w:cs="仿宋"/>
          <w:b/>
          <w:bCs/>
          <w:color w:val="auto"/>
          <w:sz w:val="32"/>
          <w:szCs w:val="32"/>
          <w:highlight w:val="none"/>
          <w:lang w:eastAsia="zh-CN"/>
        </w:rPr>
        <w:t>承包</w:t>
      </w:r>
      <w:r>
        <w:rPr>
          <w:rFonts w:hint="eastAsia" w:ascii="仿宋" w:hAnsi="仿宋" w:eastAsia="仿宋" w:cs="仿宋"/>
          <w:b/>
          <w:bCs/>
          <w:color w:val="auto"/>
          <w:sz w:val="32"/>
          <w:szCs w:val="32"/>
          <w:highlight w:val="none"/>
        </w:rPr>
        <w:t>方式</w:t>
      </w:r>
    </w:p>
    <w:p w14:paraId="5A3C5F60">
      <w:pPr>
        <w:snapToGrid w:val="0"/>
        <w:spacing w:line="336"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固定</w:t>
      </w:r>
      <w:r>
        <w:rPr>
          <w:rFonts w:hint="eastAsia" w:ascii="仿宋" w:hAnsi="仿宋" w:eastAsia="仿宋" w:cs="仿宋"/>
          <w:color w:val="auto"/>
          <w:sz w:val="24"/>
          <w:szCs w:val="24"/>
          <w:highlight w:val="none"/>
          <w:lang w:val="en-US" w:eastAsia="zh-CN"/>
        </w:rPr>
        <w:t>总价包干</w:t>
      </w:r>
    </w:p>
    <w:p w14:paraId="12C27116">
      <w:pPr>
        <w:snapToGrid w:val="0"/>
        <w:spacing w:line="336" w:lineRule="auto"/>
        <w:rPr>
          <w:rStyle w:val="7"/>
          <w:rFonts w:ascii="宋体" w:hAnsi="宋体" w:cs="宋体"/>
          <w:b/>
          <w:bCs/>
          <w:color w:val="auto"/>
          <w:sz w:val="24"/>
          <w:szCs w:val="24"/>
          <w:highlight w:val="none"/>
        </w:rPr>
      </w:pPr>
      <w:r>
        <w:rPr>
          <w:rFonts w:hint="eastAsia" w:ascii="仿宋" w:hAnsi="仿宋" w:eastAsia="仿宋" w:cs="仿宋"/>
          <w:b/>
          <w:bCs/>
          <w:color w:val="auto"/>
          <w:sz w:val="32"/>
          <w:szCs w:val="32"/>
          <w:highlight w:val="none"/>
          <w:lang w:val="en-US" w:eastAsia="zh-CN"/>
        </w:rPr>
        <w:t>七、考核要求</w:t>
      </w:r>
    </w:p>
    <w:p w14:paraId="68C27846">
      <w:pPr>
        <w:keepNext w:val="0"/>
        <w:keepLines w:val="0"/>
        <w:pageBreakBefore w:val="0"/>
        <w:widowControl/>
        <w:numPr>
          <w:ilvl w:val="0"/>
          <w:numId w:val="0"/>
        </w:numPr>
        <w:tabs>
          <w:tab w:val="left" w:pos="900"/>
        </w:tabs>
        <w:kinsoku/>
        <w:wordWrap/>
        <w:overflowPunct/>
        <w:topLinePunct w:val="0"/>
        <w:autoSpaceDE/>
        <w:autoSpaceDN/>
        <w:bidi w:val="0"/>
        <w:adjustRightInd/>
        <w:snapToGrid/>
        <w:spacing w:line="336" w:lineRule="auto"/>
        <w:ind w:firstLine="480" w:firstLineChars="200"/>
        <w:textAlignment w:val="auto"/>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招标人会及时将上级管理部门要求传达给投标人，投标人需在接到相关通知后执行相关工作。如因投标人未执行或执行不全面的，造成招标人被上级检查扣分情况，投标人要负连带责任：</w:t>
      </w:r>
    </w:p>
    <w:p w14:paraId="6268877E">
      <w:pPr>
        <w:keepNext w:val="0"/>
        <w:keepLines w:val="0"/>
        <w:pageBreakBefore w:val="0"/>
        <w:widowControl/>
        <w:numPr>
          <w:ilvl w:val="0"/>
          <w:numId w:val="0"/>
        </w:numPr>
        <w:tabs>
          <w:tab w:val="left" w:pos="900"/>
        </w:tabs>
        <w:kinsoku/>
        <w:wordWrap/>
        <w:overflowPunct/>
        <w:topLinePunct w:val="0"/>
        <w:autoSpaceDE/>
        <w:autoSpaceDN/>
        <w:bidi w:val="0"/>
        <w:adjustRightInd/>
        <w:snapToGrid/>
        <w:spacing w:line="336" w:lineRule="auto"/>
        <w:ind w:firstLine="480" w:firstLineChars="200"/>
        <w:textAlignment w:val="auto"/>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投标人需合理安排人员对巡逻范围内区域进行全面消防巡逻，及时发现问题及时处置，防止潜在火灾的发生。如遇居民举报、上级巡查、考评问题，没有处理好的一次处罚1000元。如被媒体曝光，一次处罚5000元；</w:t>
      </w:r>
    </w:p>
    <w:p w14:paraId="2CAD1926">
      <w:pPr>
        <w:keepNext w:val="0"/>
        <w:keepLines w:val="0"/>
        <w:pageBreakBefore w:val="0"/>
        <w:widowControl/>
        <w:numPr>
          <w:ilvl w:val="0"/>
          <w:numId w:val="0"/>
        </w:numPr>
        <w:tabs>
          <w:tab w:val="left" w:pos="900"/>
        </w:tabs>
        <w:kinsoku/>
        <w:wordWrap/>
        <w:overflowPunct/>
        <w:topLinePunct w:val="0"/>
        <w:autoSpaceDE/>
        <w:autoSpaceDN/>
        <w:bidi w:val="0"/>
        <w:adjustRightInd/>
        <w:snapToGrid/>
        <w:spacing w:line="336" w:lineRule="auto"/>
        <w:ind w:firstLine="480" w:firstLineChars="200"/>
        <w:textAlignment w:val="auto"/>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2、投标人需定期对辖区店铺及居民进行消防安全知识技能宣传教育和培训，知道督促店铺、商家配备灭火器等消防设备，如每月不宣传及督促造成火灾问题的，一次处罚2000元；</w:t>
      </w:r>
    </w:p>
    <w:p w14:paraId="2DA39657">
      <w:pPr>
        <w:keepNext w:val="0"/>
        <w:keepLines w:val="0"/>
        <w:pageBreakBefore w:val="0"/>
        <w:widowControl/>
        <w:numPr>
          <w:ilvl w:val="0"/>
          <w:numId w:val="0"/>
        </w:numPr>
        <w:tabs>
          <w:tab w:val="left" w:pos="900"/>
        </w:tabs>
        <w:kinsoku/>
        <w:wordWrap/>
        <w:overflowPunct/>
        <w:topLinePunct w:val="0"/>
        <w:autoSpaceDE/>
        <w:autoSpaceDN/>
        <w:bidi w:val="0"/>
        <w:adjustRightInd/>
        <w:snapToGrid/>
        <w:spacing w:line="336" w:lineRule="auto"/>
        <w:ind w:firstLine="480" w:firstLineChars="200"/>
        <w:textAlignment w:val="auto"/>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3、针对居民举报、巡查发现和市、区派单的整改问题，投标人应及时组织人员处理。如发生火灾不及时上报情况，一次处罚2000元；</w:t>
      </w:r>
    </w:p>
    <w:p w14:paraId="1FF00E54">
      <w:pPr>
        <w:keepNext w:val="0"/>
        <w:keepLines w:val="0"/>
        <w:pageBreakBefore w:val="0"/>
        <w:widowControl/>
        <w:numPr>
          <w:ilvl w:val="0"/>
          <w:numId w:val="0"/>
        </w:numPr>
        <w:tabs>
          <w:tab w:val="left" w:pos="900"/>
        </w:tabs>
        <w:kinsoku/>
        <w:wordWrap/>
        <w:overflowPunct/>
        <w:topLinePunct w:val="0"/>
        <w:autoSpaceDE/>
        <w:autoSpaceDN/>
        <w:bidi w:val="0"/>
        <w:adjustRightInd/>
        <w:snapToGrid/>
        <w:spacing w:line="336" w:lineRule="auto"/>
        <w:ind w:firstLine="480" w:firstLineChars="200"/>
        <w:textAlignment w:val="auto"/>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4、投标人应配备专业的消防设备与车辆，对发生火灾要求15分钟到达现场进行处置，如未及时到达现场处置的，一次处罚2000元；</w:t>
      </w:r>
    </w:p>
    <w:p w14:paraId="0AB57906">
      <w:pPr>
        <w:keepNext w:val="0"/>
        <w:keepLines w:val="0"/>
        <w:pageBreakBefore w:val="0"/>
        <w:widowControl/>
        <w:numPr>
          <w:ilvl w:val="0"/>
          <w:numId w:val="0"/>
        </w:numPr>
        <w:tabs>
          <w:tab w:val="left" w:pos="900"/>
        </w:tabs>
        <w:kinsoku/>
        <w:wordWrap/>
        <w:overflowPunct/>
        <w:topLinePunct w:val="0"/>
        <w:autoSpaceDE/>
        <w:autoSpaceDN/>
        <w:bidi w:val="0"/>
        <w:adjustRightInd/>
        <w:snapToGrid/>
        <w:spacing w:line="336" w:lineRule="auto"/>
        <w:ind w:firstLine="480" w:firstLineChars="200"/>
        <w:textAlignment w:val="auto"/>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5、注意抓好巡逻、火灾扑救安全工作，发生安全事故，均由投标人自行解决。安全事故造成不良影响的一次扣2000元；</w:t>
      </w:r>
    </w:p>
    <w:p w14:paraId="57EFD7F9">
      <w:pPr>
        <w:keepNext w:val="0"/>
        <w:keepLines w:val="0"/>
        <w:pageBreakBefore w:val="0"/>
        <w:widowControl/>
        <w:numPr>
          <w:ilvl w:val="0"/>
          <w:numId w:val="0"/>
        </w:numPr>
        <w:tabs>
          <w:tab w:val="left" w:pos="900"/>
        </w:tabs>
        <w:kinsoku/>
        <w:wordWrap/>
        <w:overflowPunct/>
        <w:topLinePunct w:val="0"/>
        <w:autoSpaceDE/>
        <w:autoSpaceDN/>
        <w:bidi w:val="0"/>
        <w:adjustRightInd/>
        <w:snapToGrid/>
        <w:spacing w:line="336" w:lineRule="auto"/>
        <w:ind w:firstLine="480" w:firstLineChars="200"/>
        <w:textAlignment w:val="auto"/>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6、投标人在火灾扑救过程中，因投标人自身原因造成重大安全事故的一经发现（包括但不限于群众举报、媒体曝光、职能部门巡查处理等方式），本项目的中标（成交）合同立即终止，且投标人需向招标人支付中标（成交）合同金额5%的违约金及其他相应损失。</w:t>
      </w:r>
    </w:p>
    <w:p w14:paraId="0FDCF4CF">
      <w:pPr>
        <w:keepNext w:val="0"/>
        <w:keepLines w:val="0"/>
        <w:pageBreakBefore w:val="0"/>
        <w:widowControl/>
        <w:numPr>
          <w:ilvl w:val="0"/>
          <w:numId w:val="0"/>
        </w:numPr>
        <w:tabs>
          <w:tab w:val="left" w:pos="900"/>
        </w:tabs>
        <w:kinsoku/>
        <w:wordWrap/>
        <w:overflowPunct/>
        <w:topLinePunct w:val="0"/>
        <w:autoSpaceDE/>
        <w:autoSpaceDN/>
        <w:bidi w:val="0"/>
        <w:adjustRightInd/>
        <w:snapToGrid/>
        <w:spacing w:line="336" w:lineRule="auto"/>
        <w:ind w:firstLine="480" w:firstLineChars="200"/>
        <w:textAlignment w:val="auto"/>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7、乙方未按要求每月向甲方书面汇报月度巡查情况，发现1次扣2000元。</w:t>
      </w:r>
    </w:p>
    <w:p w14:paraId="14827767">
      <w:pPr>
        <w:keepNext w:val="0"/>
        <w:keepLines w:val="0"/>
        <w:pageBreakBefore w:val="0"/>
        <w:widowControl/>
        <w:numPr>
          <w:ilvl w:val="0"/>
          <w:numId w:val="0"/>
        </w:numPr>
        <w:tabs>
          <w:tab w:val="left" w:pos="900"/>
        </w:tabs>
        <w:kinsoku/>
        <w:wordWrap/>
        <w:overflowPunct/>
        <w:topLinePunct w:val="0"/>
        <w:autoSpaceDE/>
        <w:autoSpaceDN/>
        <w:bidi w:val="0"/>
        <w:adjustRightInd/>
        <w:snapToGrid/>
        <w:spacing w:line="336" w:lineRule="auto"/>
        <w:ind w:firstLine="480" w:firstLineChars="200"/>
        <w:textAlignment w:val="auto"/>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8、以上考核措施为暂行内容，在合同实施期间，招标人有权根据项目实际情况对相关考核、规章制度进行修改、细化、调整，相关考核、规章及奖罚措施等也会逐年修订，投标人必须无条件接受。</w:t>
      </w:r>
    </w:p>
    <w:p w14:paraId="56505634">
      <w:pPr>
        <w:widowControl/>
        <w:numPr>
          <w:ilvl w:val="0"/>
          <w:numId w:val="0"/>
        </w:numPr>
        <w:tabs>
          <w:tab w:val="left" w:pos="900"/>
        </w:tabs>
        <w:snapToGrid/>
        <w:spacing w:line="360" w:lineRule="auto"/>
        <w:jc w:val="left"/>
        <w:outlineLvl w:val="1"/>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八、验收要求：</w:t>
      </w:r>
    </w:p>
    <w:p w14:paraId="37A2568F">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i w:val="0"/>
          <w:iCs w:val="0"/>
          <w:caps w:val="0"/>
          <w:color w:val="auto"/>
          <w:spacing w:val="0"/>
          <w:sz w:val="24"/>
          <w:szCs w:val="24"/>
          <w:highlight w:val="none"/>
          <w:shd w:val="clear" w:color="auto" w:fill="auto"/>
          <w:lang w:eastAsia="zh-CN"/>
        </w:rPr>
      </w:pPr>
      <w:r>
        <w:rPr>
          <w:rFonts w:hint="eastAsia" w:ascii="仿宋" w:hAnsi="仿宋" w:eastAsia="仿宋" w:cs="仿宋"/>
          <w:i w:val="0"/>
          <w:iCs w:val="0"/>
          <w:caps w:val="0"/>
          <w:color w:val="auto"/>
          <w:spacing w:val="0"/>
          <w:sz w:val="24"/>
          <w:szCs w:val="24"/>
          <w:highlight w:val="none"/>
          <w:shd w:val="clear" w:color="auto" w:fill="auto"/>
          <w:lang w:val="en-US" w:eastAsia="zh-CN"/>
        </w:rPr>
        <w:t>招标人按照招标文件要求和相关标准验收，</w:t>
      </w:r>
      <w:r>
        <w:rPr>
          <w:rFonts w:hint="eastAsia" w:ascii="仿宋" w:hAnsi="仿宋" w:eastAsia="仿宋" w:cs="仿宋"/>
          <w:i w:val="0"/>
          <w:iCs w:val="0"/>
          <w:caps w:val="0"/>
          <w:color w:val="auto"/>
          <w:spacing w:val="0"/>
          <w:sz w:val="24"/>
          <w:szCs w:val="24"/>
          <w:highlight w:val="none"/>
          <w:shd w:val="clear" w:color="auto" w:fill="auto"/>
          <w:lang w:eastAsia="zh-CN"/>
        </w:rPr>
        <w:t>若</w:t>
      </w:r>
      <w:r>
        <w:rPr>
          <w:rFonts w:hint="eastAsia" w:ascii="仿宋" w:hAnsi="仿宋" w:eastAsia="仿宋" w:cs="仿宋"/>
          <w:i w:val="0"/>
          <w:iCs w:val="0"/>
          <w:caps w:val="0"/>
          <w:color w:val="auto"/>
          <w:spacing w:val="0"/>
          <w:sz w:val="24"/>
          <w:szCs w:val="24"/>
          <w:highlight w:val="none"/>
          <w:shd w:val="clear" w:color="auto" w:fill="auto"/>
          <w:lang w:val="en-US" w:eastAsia="zh-CN"/>
        </w:rPr>
        <w:t>验收不合格，招标人将</w:t>
      </w:r>
      <w:r>
        <w:rPr>
          <w:rFonts w:hint="eastAsia" w:ascii="仿宋" w:hAnsi="仿宋" w:eastAsia="仿宋" w:cs="仿宋"/>
          <w:i w:val="0"/>
          <w:iCs w:val="0"/>
          <w:caps w:val="0"/>
          <w:color w:val="auto"/>
          <w:spacing w:val="0"/>
          <w:sz w:val="24"/>
          <w:szCs w:val="24"/>
          <w:highlight w:val="none"/>
          <w:shd w:val="clear" w:color="auto" w:fill="auto"/>
          <w:lang w:eastAsia="zh-CN"/>
        </w:rPr>
        <w:t>终止</w:t>
      </w:r>
      <w:r>
        <w:rPr>
          <w:rFonts w:hint="eastAsia" w:ascii="仿宋" w:hAnsi="仿宋" w:eastAsia="仿宋" w:cs="仿宋"/>
          <w:i w:val="0"/>
          <w:iCs w:val="0"/>
          <w:caps w:val="0"/>
          <w:color w:val="auto"/>
          <w:spacing w:val="0"/>
          <w:sz w:val="24"/>
          <w:szCs w:val="24"/>
          <w:highlight w:val="none"/>
          <w:shd w:val="clear" w:color="auto" w:fill="auto"/>
          <w:lang w:val="en-US" w:eastAsia="zh-CN"/>
        </w:rPr>
        <w:t>合同</w:t>
      </w:r>
      <w:r>
        <w:rPr>
          <w:rFonts w:hint="eastAsia" w:ascii="仿宋" w:hAnsi="仿宋" w:eastAsia="仿宋" w:cs="仿宋"/>
          <w:i w:val="0"/>
          <w:iCs w:val="0"/>
          <w:caps w:val="0"/>
          <w:color w:val="auto"/>
          <w:spacing w:val="0"/>
          <w:sz w:val="24"/>
          <w:szCs w:val="24"/>
          <w:highlight w:val="none"/>
          <w:shd w:val="clear" w:color="auto" w:fill="auto"/>
          <w:lang w:eastAsia="zh-CN"/>
        </w:rPr>
        <w:t>，且</w:t>
      </w:r>
      <w:r>
        <w:rPr>
          <w:rFonts w:hint="eastAsia" w:ascii="仿宋" w:hAnsi="仿宋" w:eastAsia="仿宋" w:cs="仿宋"/>
          <w:i w:val="0"/>
          <w:iCs w:val="0"/>
          <w:caps w:val="0"/>
          <w:color w:val="auto"/>
          <w:spacing w:val="0"/>
          <w:sz w:val="24"/>
          <w:szCs w:val="24"/>
          <w:highlight w:val="none"/>
          <w:shd w:val="clear" w:color="auto" w:fill="auto"/>
          <w:lang w:val="en-US" w:eastAsia="zh-CN"/>
        </w:rPr>
        <w:t>招标人</w:t>
      </w:r>
      <w:r>
        <w:rPr>
          <w:rFonts w:hint="eastAsia" w:ascii="仿宋" w:hAnsi="仿宋" w:eastAsia="仿宋" w:cs="仿宋"/>
          <w:i w:val="0"/>
          <w:iCs w:val="0"/>
          <w:caps w:val="0"/>
          <w:color w:val="auto"/>
          <w:spacing w:val="0"/>
          <w:sz w:val="24"/>
          <w:szCs w:val="24"/>
          <w:highlight w:val="none"/>
          <w:shd w:val="clear" w:color="auto" w:fill="auto"/>
          <w:lang w:eastAsia="zh-CN"/>
        </w:rPr>
        <w:t>无需承担任何赔偿义务。</w:t>
      </w:r>
    </w:p>
    <w:p w14:paraId="0959B9A5">
      <w:pPr>
        <w:snapToGrid w:val="0"/>
        <w:spacing w:line="336" w:lineRule="auto"/>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lang w:val="en-US" w:eastAsia="zh-CN"/>
        </w:rPr>
        <w:t>九、</w:t>
      </w:r>
      <w:r>
        <w:rPr>
          <w:rFonts w:hint="eastAsia" w:ascii="仿宋" w:hAnsi="仿宋" w:eastAsia="仿宋" w:cs="仿宋"/>
          <w:b/>
          <w:bCs/>
          <w:color w:val="auto"/>
          <w:sz w:val="32"/>
          <w:szCs w:val="32"/>
          <w:highlight w:val="none"/>
          <w:lang w:eastAsia="zh-CN"/>
        </w:rPr>
        <w:t>付款</w:t>
      </w:r>
      <w:r>
        <w:rPr>
          <w:rFonts w:hint="eastAsia" w:ascii="仿宋" w:hAnsi="仿宋" w:eastAsia="仿宋" w:cs="仿宋"/>
          <w:b/>
          <w:bCs/>
          <w:color w:val="auto"/>
          <w:sz w:val="32"/>
          <w:szCs w:val="32"/>
          <w:highlight w:val="none"/>
        </w:rPr>
        <w:t>方式</w:t>
      </w:r>
    </w:p>
    <w:p w14:paraId="59F5A16F">
      <w:pPr>
        <w:numPr>
          <w:ilvl w:val="0"/>
          <w:numId w:val="0"/>
        </w:numPr>
        <w:spacing w:line="336" w:lineRule="auto"/>
        <w:ind w:firstLine="480" w:firstLineChars="200"/>
        <w:outlineLvl w:val="9"/>
        <w:rPr>
          <w:rFonts w:hint="eastAsia" w:ascii="仿宋" w:hAnsi="仿宋" w:eastAsia="仿宋" w:cs="仿宋"/>
          <w:color w:val="auto"/>
          <w:sz w:val="24"/>
          <w:highlight w:val="none"/>
        </w:rPr>
      </w:pPr>
      <w:r>
        <w:rPr>
          <w:rFonts w:hint="eastAsia" w:ascii="仿宋" w:hAnsi="仿宋" w:eastAsia="仿宋" w:cs="仿宋"/>
          <w:color w:val="auto"/>
          <w:sz w:val="24"/>
          <w:highlight w:val="none"/>
        </w:rPr>
        <w:t>每年分</w:t>
      </w:r>
      <w:r>
        <w:rPr>
          <w:rFonts w:hint="eastAsia" w:ascii="仿宋" w:hAnsi="仿宋" w:eastAsia="仿宋" w:cs="仿宋"/>
          <w:color w:val="auto"/>
          <w:sz w:val="24"/>
          <w:highlight w:val="none"/>
          <w:lang w:eastAsia="zh-CN"/>
        </w:rPr>
        <w:t>四</w:t>
      </w:r>
      <w:r>
        <w:rPr>
          <w:rFonts w:hint="eastAsia" w:ascii="仿宋" w:hAnsi="仿宋" w:eastAsia="仿宋" w:cs="仿宋"/>
          <w:color w:val="auto"/>
          <w:sz w:val="24"/>
          <w:highlight w:val="none"/>
        </w:rPr>
        <w:t>次支付，每</w:t>
      </w:r>
      <w:r>
        <w:rPr>
          <w:rFonts w:hint="eastAsia" w:ascii="仿宋" w:hAnsi="仿宋" w:eastAsia="仿宋" w:cs="仿宋"/>
          <w:color w:val="auto"/>
          <w:sz w:val="24"/>
          <w:highlight w:val="none"/>
          <w:lang w:eastAsia="zh-CN"/>
        </w:rPr>
        <w:t>季度</w:t>
      </w:r>
      <w:r>
        <w:rPr>
          <w:rFonts w:hint="eastAsia" w:ascii="仿宋" w:hAnsi="仿宋" w:eastAsia="仿宋" w:cs="仿宋"/>
          <w:color w:val="auto"/>
          <w:sz w:val="24"/>
          <w:highlight w:val="none"/>
        </w:rPr>
        <w:t>服务期满经考核合格后</w:t>
      </w:r>
      <w:r>
        <w:rPr>
          <w:rFonts w:hint="eastAsia" w:ascii="仿宋" w:hAnsi="仿宋" w:eastAsia="仿宋" w:cs="仿宋"/>
          <w:color w:val="auto"/>
          <w:sz w:val="24"/>
          <w:highlight w:val="none"/>
          <w:lang w:eastAsia="zh-CN"/>
        </w:rPr>
        <w:t>，下</w:t>
      </w:r>
      <w:r>
        <w:rPr>
          <w:rFonts w:hint="eastAsia" w:ascii="仿宋" w:hAnsi="仿宋" w:eastAsia="仿宋" w:cs="仿宋"/>
          <w:color w:val="auto"/>
          <w:sz w:val="24"/>
          <w:highlight w:val="none"/>
          <w:lang w:val="en-US" w:eastAsia="zh-CN"/>
        </w:rPr>
        <w:t>个月的25日前</w:t>
      </w:r>
      <w:r>
        <w:rPr>
          <w:rFonts w:hint="eastAsia" w:ascii="仿宋" w:hAnsi="仿宋" w:eastAsia="仿宋" w:cs="仿宋"/>
          <w:color w:val="auto"/>
          <w:sz w:val="24"/>
          <w:highlight w:val="none"/>
        </w:rPr>
        <w:t>支付</w:t>
      </w:r>
      <w:r>
        <w:rPr>
          <w:rFonts w:hint="eastAsia" w:ascii="仿宋" w:hAnsi="仿宋" w:eastAsia="仿宋" w:cs="仿宋"/>
          <w:color w:val="auto"/>
          <w:sz w:val="24"/>
          <w:highlight w:val="none"/>
          <w:lang w:eastAsia="zh-CN"/>
        </w:rPr>
        <w:t>，</w:t>
      </w:r>
      <w:r>
        <w:rPr>
          <w:rFonts w:hint="eastAsia" w:ascii="仿宋" w:hAnsi="仿宋" w:eastAsia="仿宋" w:cs="仿宋"/>
          <w:color w:val="auto"/>
          <w:sz w:val="24"/>
          <w:szCs w:val="24"/>
          <w:highlight w:val="none"/>
        </w:rPr>
        <w:t>考核扣款等扣除项均在当期</w:t>
      </w:r>
      <w:r>
        <w:rPr>
          <w:rFonts w:hint="eastAsia" w:ascii="仿宋" w:hAnsi="仿宋" w:eastAsia="仿宋" w:cs="仿宋"/>
          <w:color w:val="auto"/>
          <w:sz w:val="24"/>
          <w:szCs w:val="24"/>
          <w:highlight w:val="none"/>
          <w:lang w:eastAsia="zh-CN"/>
        </w:rPr>
        <w:t>季度</w:t>
      </w:r>
      <w:r>
        <w:rPr>
          <w:rFonts w:hint="eastAsia" w:ascii="仿宋" w:hAnsi="仿宋" w:eastAsia="仿宋" w:cs="仿宋"/>
          <w:color w:val="auto"/>
          <w:sz w:val="24"/>
          <w:szCs w:val="24"/>
          <w:highlight w:val="none"/>
        </w:rPr>
        <w:t>服务费中按实扣除。</w:t>
      </w:r>
    </w:p>
    <w:p w14:paraId="44CD191C">
      <w:pPr>
        <w:snapToGrid w:val="0"/>
        <w:spacing w:line="336" w:lineRule="auto"/>
        <w:rPr>
          <w:rFonts w:hint="default" w:ascii="仿宋" w:hAnsi="仿宋" w:eastAsia="仿宋" w:cs="仿宋"/>
          <w:b/>
          <w:bCs/>
          <w:color w:val="auto"/>
          <w:sz w:val="32"/>
          <w:szCs w:val="32"/>
          <w:highlight w:val="none"/>
          <w:lang w:val="en-US"/>
        </w:rPr>
      </w:pPr>
      <w:r>
        <w:rPr>
          <w:rFonts w:hint="eastAsia" w:ascii="仿宋" w:hAnsi="仿宋" w:eastAsia="仿宋" w:cs="仿宋"/>
          <w:b/>
          <w:bCs/>
          <w:color w:val="auto"/>
          <w:sz w:val="32"/>
          <w:szCs w:val="32"/>
          <w:highlight w:val="none"/>
          <w:lang w:val="en-US" w:eastAsia="zh-CN"/>
        </w:rPr>
        <w:t>十、预算金额、最高限价：</w:t>
      </w:r>
    </w:p>
    <w:p w14:paraId="101D2BB9">
      <w:pPr>
        <w:spacing w:line="336" w:lineRule="auto"/>
        <w:ind w:firstLine="480" w:firstLineChars="200"/>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预算金额：人民币26万元/年</w:t>
      </w:r>
    </w:p>
    <w:p w14:paraId="550932D9">
      <w:pPr>
        <w:spacing w:line="336" w:lineRule="auto"/>
        <w:ind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最高限价：人民币26万元/年，投标人的报价不得高于最高限价，否则作为无效投标处理。</w:t>
      </w:r>
    </w:p>
    <w:p w14:paraId="3F4C48E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3229AA"/>
    <w:rsid w:val="59322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First Indent 2"/>
    <w:basedOn w:val="3"/>
    <w:next w:val="1"/>
    <w:uiPriority w:val="0"/>
    <w:pPr>
      <w:ind w:firstLine="420" w:firstLineChars="200"/>
    </w:pPr>
    <w:rPr>
      <w:rFonts w:ascii="Times New Roman" w:hAnsi="Times New Roman" w:eastAsia="宋体" w:cs="Times New Roman"/>
    </w:rPr>
  </w:style>
  <w:style w:type="paragraph" w:styleId="3">
    <w:name w:val="Body Text Indent"/>
    <w:basedOn w:val="1"/>
    <w:uiPriority w:val="0"/>
    <w:pPr>
      <w:spacing w:after="120"/>
      <w:ind w:left="420" w:leftChars="200"/>
    </w:pPr>
    <w:rPr>
      <w:rFonts w:ascii="Times New Roman" w:hAnsi="Times New Roman" w:eastAsia="宋体" w:cs="Times New Roman"/>
      <w:kern w:val="0"/>
      <w:sz w:val="20"/>
      <w:szCs w:val="24"/>
    </w:rPr>
  </w:style>
  <w:style w:type="paragraph" w:styleId="4">
    <w:name w:val="Body Text"/>
    <w:basedOn w:val="1"/>
    <w:next w:val="1"/>
    <w:uiPriority w:val="0"/>
    <w:pPr>
      <w:tabs>
        <w:tab w:val="left" w:pos="567"/>
      </w:tabs>
      <w:spacing w:before="120" w:line="22" w:lineRule="atLeast"/>
    </w:pPr>
    <w:rPr>
      <w:rFonts w:ascii="宋体" w:hAnsi="宋体" w:eastAsia="宋体" w:cs="Times New Roman"/>
      <w:sz w:val="24"/>
      <w:szCs w:val="20"/>
    </w:rPr>
  </w:style>
  <w:style w:type="character" w:customStyle="1" w:styleId="7">
    <w:name w:val="NormalCharacter"/>
    <w:uiPriority w:val="0"/>
    <w:rPr>
      <w:rFonts w:ascii="Times New Roman" w:hAnsi="Times New Roman"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2026-10-13T01:07:00Z</dcterms:created>
  <dc:creator>沙昊锴</dc:creator>
  <cp:lastModifiedBy>沙昊锴</cp:lastModifiedBy>
  <dcterms:modified xsi:type="dcterms:W3CDTF">2026-10-13T01:07:48Z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AFA14BF46B0E48C89D13603A19A35A2D_11</vt:lpwstr>
  </property>
  <property fmtid="{D5CDD505-2E9C-101B-9397-08002B2CF9AE}" pid="4" name="KSOTemplateDocerSaveRecord">
    <vt:lpwstr>eyJoZGlkIjoiZDBkNWI1YmIxM2MwN2NjN2UyMzRhNjJmODM5ZGE4NzkiLCJ1c2VySWQiOiIxMTk5MjAwMDEwIn0=</vt:lpwstr>
  </property>
</Properties>
</file>