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FD64">
      <w:pPr>
        <w:snapToGrid w:val="0"/>
        <w:spacing w:line="336" w:lineRule="auto"/>
        <w:jc w:val="center"/>
        <w:rPr>
          <w:rFonts w:hint="eastAsia" w:ascii="仿宋" w:hAnsi="仿宋" w:eastAsia="仿宋" w:cs="仿宋"/>
          <w:b/>
          <w:bCs/>
          <w:color w:val="auto"/>
          <w:sz w:val="32"/>
          <w:szCs w:val="32"/>
          <w:highlight w:val="none"/>
          <w:lang w:val="en-US" w:eastAsia="zh-CN"/>
        </w:rPr>
      </w:pPr>
      <w:bookmarkStart w:id="0" w:name="OLE_LINK2"/>
      <w:r>
        <w:rPr>
          <w:rFonts w:hint="eastAsia" w:ascii="仿宋" w:hAnsi="仿宋" w:eastAsia="仿宋" w:cs="仿宋"/>
          <w:b/>
          <w:bCs/>
          <w:color w:val="auto"/>
          <w:sz w:val="32"/>
          <w:szCs w:val="32"/>
          <w:highlight w:val="none"/>
          <w:lang w:val="en-US" w:eastAsia="zh-CN"/>
        </w:rPr>
        <w:t>附件</w:t>
      </w:r>
      <w:bookmarkStart w:id="1" w:name="_GoBack"/>
      <w:bookmarkEnd w:id="1"/>
    </w:p>
    <w:bookmarkEnd w:id="0"/>
    <w:p w14:paraId="57AF0BF9">
      <w:pPr>
        <w:spacing w:line="312" w:lineRule="auto"/>
        <w:outlineLvl w:val="1"/>
        <w:rPr>
          <w:rFonts w:hint="eastAsia" w:ascii="仿宋" w:hAnsi="仿宋" w:eastAsia="仿宋"/>
          <w:b/>
          <w:bCs/>
          <w:color w:val="auto"/>
          <w:sz w:val="32"/>
          <w:szCs w:val="32"/>
          <w:highlight w:val="none"/>
          <w:u w:val="none"/>
        </w:rPr>
      </w:pPr>
      <w:r>
        <w:rPr>
          <w:rFonts w:hint="eastAsia" w:ascii="仿宋" w:hAnsi="仿宋" w:eastAsia="仿宋"/>
          <w:b/>
          <w:bCs/>
          <w:color w:val="auto"/>
          <w:sz w:val="32"/>
          <w:szCs w:val="32"/>
          <w:highlight w:val="none"/>
          <w:u w:val="none"/>
        </w:rPr>
        <w:t>一、项目概况</w:t>
      </w:r>
    </w:p>
    <w:p w14:paraId="1F8BA080">
      <w:pPr>
        <w:pStyle w:val="6"/>
        <w:spacing w:line="312" w:lineRule="auto"/>
        <w:ind w:firstLine="480" w:firstLineChars="0"/>
        <w:rPr>
          <w:rFonts w:hint="eastAsia" w:ascii="仿宋" w:hAnsi="仿宋" w:eastAsia="仿宋" w:cs="仿宋"/>
          <w:color w:val="auto"/>
          <w:sz w:val="24"/>
          <w:szCs w:val="22"/>
          <w:highlight w:val="none"/>
          <w:u w:val="none"/>
        </w:rPr>
      </w:pPr>
      <w:r>
        <w:rPr>
          <w:rFonts w:hint="eastAsia" w:ascii="仿宋" w:hAnsi="仿宋" w:eastAsia="仿宋" w:cs="仿宋"/>
          <w:color w:val="auto"/>
          <w:sz w:val="24"/>
          <w:szCs w:val="22"/>
          <w:highlight w:val="none"/>
          <w:u w:val="none"/>
          <w:lang w:eastAsia="zh-CN"/>
        </w:rPr>
        <w:t>长三角碳纤维及复合材料技术创新中心大型麦克风阵列旋转声源定位算法开发外协项目</w:t>
      </w:r>
      <w:r>
        <w:rPr>
          <w:rFonts w:hint="eastAsia" w:ascii="仿宋" w:hAnsi="仿宋" w:eastAsia="仿宋" w:cs="仿宋"/>
          <w:color w:val="auto"/>
          <w:sz w:val="24"/>
          <w:szCs w:val="22"/>
          <w:highlight w:val="none"/>
          <w:u w:val="none"/>
        </w:rPr>
        <w:t>，包括但不限于招标文件及其基本技术要求范围内算法开发、软件实现、系统集成与试验验证外协等全部内容。</w:t>
      </w:r>
    </w:p>
    <w:p w14:paraId="407DE1BB">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本项目面向风墙/风洞等强气流、高背景噪声试验环境下的旋转机械气动噪声测试需求，拟依托大型多通道麦克风阵列，实现对螺旋桨、旋翼、风扇及其他周期旋转部件噪声源的空间定位和声源分布重构。</w:t>
      </w:r>
    </w:p>
    <w:p w14:paraId="26F6F1E3">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与常规静止声源定位不同，旋转声源存在声源位置随时间快速变化、传播距离和传播时延周期变化、运动引起的多普勒效应以及不同旋转相位声源相互叠加等问题。同时，风墙运行产生的强背景噪声、湍流压力脉动以及阵列通道间的非声学相关扰动，会显著降低常规波束形成方法的定位能力。</w:t>
      </w:r>
    </w:p>
    <w:p w14:paraId="60BEBC3F">
      <w:pPr>
        <w:pStyle w:val="6"/>
        <w:spacing w:line="312" w:lineRule="auto"/>
        <w:ind w:firstLine="480" w:firstLineChars="0"/>
        <w:rPr>
          <w:rFonts w:hint="eastAsia" w:ascii="仿宋" w:hAnsi="仿宋" w:eastAsia="仿宋" w:cs="仿宋"/>
          <w:color w:val="auto"/>
          <w:sz w:val="24"/>
          <w:szCs w:val="24"/>
          <w:highlight w:val="none"/>
          <w:u w:val="none"/>
        </w:rPr>
      </w:pPr>
      <w:r>
        <w:rPr>
          <w:rFonts w:hint="eastAsia" w:ascii="仿宋" w:hAnsi="仿宋" w:eastAsia="仿宋" w:cs="仿宋"/>
          <w:color w:val="auto"/>
          <w:sz w:val="24"/>
          <w:szCs w:val="22"/>
          <w:highlight w:val="none"/>
          <w:u w:val="none"/>
        </w:rPr>
        <w:t>因此，本外协项目要求开发一套适用于</w:t>
      </w:r>
      <w:r>
        <w:rPr>
          <w:rStyle w:val="9"/>
          <w:rFonts w:hint="eastAsia" w:ascii="仿宋" w:hAnsi="仿宋" w:eastAsia="仿宋" w:cs="仿宋"/>
          <w:b/>
          <w:bCs/>
          <w:color w:val="auto"/>
          <w:sz w:val="24"/>
          <w:szCs w:val="22"/>
          <w:highlight w:val="none"/>
          <w:u w:val="none"/>
        </w:rPr>
        <w:t>大型麦克风阵列 + 旋转声源 + 高背景噪声环境</w:t>
      </w:r>
      <w:r>
        <w:rPr>
          <w:rFonts w:hint="eastAsia" w:ascii="仿宋" w:hAnsi="仿宋" w:eastAsia="仿宋" w:cs="仿宋"/>
          <w:b/>
          <w:bCs/>
          <w:color w:val="auto"/>
          <w:sz w:val="24"/>
          <w:szCs w:val="22"/>
          <w:highlight w:val="none"/>
          <w:u w:val="none"/>
        </w:rPr>
        <w:t>的专用声源定位算法</w:t>
      </w:r>
      <w:r>
        <w:rPr>
          <w:rFonts w:hint="eastAsia" w:ascii="仿宋" w:hAnsi="仿宋" w:eastAsia="仿宋" w:cs="仿宋"/>
          <w:color w:val="auto"/>
          <w:sz w:val="24"/>
          <w:szCs w:val="22"/>
          <w:highlight w:val="none"/>
          <w:u w:val="none"/>
        </w:rPr>
        <w:t>，实现从多通道原始声压数据、转速/角位置信号到旋转坐标系声源定位结果的完整处理流程，并能够集成至甲方现有或后续建设的声源定位系统。</w:t>
      </w:r>
    </w:p>
    <w:p w14:paraId="3697AD3C">
      <w:pPr>
        <w:numPr>
          <w:ilvl w:val="0"/>
          <w:numId w:val="1"/>
        </w:numPr>
        <w:spacing w:line="312" w:lineRule="auto"/>
        <w:outlineLvl w:val="1"/>
        <w:rPr>
          <w:rFonts w:hint="eastAsia" w:ascii="仿宋" w:hAnsi="仿宋" w:eastAsia="仿宋"/>
          <w:b/>
          <w:bCs/>
          <w:color w:val="auto"/>
          <w:sz w:val="32"/>
          <w:szCs w:val="32"/>
          <w:highlight w:val="none"/>
          <w:u w:val="none"/>
        </w:rPr>
      </w:pPr>
      <w:r>
        <w:rPr>
          <w:rFonts w:hint="eastAsia" w:ascii="仿宋" w:hAnsi="仿宋" w:eastAsia="仿宋"/>
          <w:b/>
          <w:bCs/>
          <w:color w:val="auto"/>
          <w:sz w:val="32"/>
          <w:szCs w:val="32"/>
          <w:highlight w:val="none"/>
          <w:u w:val="none"/>
          <w:lang w:val="en-US" w:eastAsia="zh-CN"/>
        </w:rPr>
        <w:t>总体目标</w:t>
      </w:r>
    </w:p>
    <w:p w14:paraId="192717D5">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开发具有自主可控源代码的旋转声源定位算法及软件模块，建立从麦克风阵列原始数据到旋转声源声学成像结果的完整计算链路。</w:t>
      </w:r>
    </w:p>
    <w:p w14:paraId="51AE3304">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算法应能够正确考虑旋转运动导致的声源位置变化、传播时延变化和多普勒效应，并针对风墙高背景噪声环境形成有效的背景噪声抑制方法。</w:t>
      </w:r>
    </w:p>
    <w:p w14:paraId="461B0FD4">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最终系统应具备静止声源定位、旋转声源定位、窄带及宽带成像、旋转阶次分析、背景噪声抑制、高分辨率声源重构和结果可视化等能力，可用于螺旋桨、旋翼等旋转部件主要噪声源位置、不同径向位置声源贡献及不同频率/阶次噪声分布的分析。</w:t>
      </w:r>
    </w:p>
    <w:p w14:paraId="775584F8">
      <w:pPr>
        <w:widowControl/>
        <w:numPr>
          <w:ilvl w:val="255"/>
          <w:numId w:val="0"/>
        </w:numPr>
        <w:spacing w:line="312" w:lineRule="auto"/>
        <w:ind w:firstLine="0" w:firstLineChars="0"/>
        <w:jc w:val="left"/>
        <w:outlineLvl w:val="1"/>
        <w:rPr>
          <w:rFonts w:hint="eastAsia" w:ascii="仿宋" w:hAnsi="仿宋" w:eastAsia="仿宋"/>
          <w:b/>
          <w:bCs/>
          <w:color w:val="auto"/>
          <w:sz w:val="32"/>
          <w:szCs w:val="32"/>
          <w:highlight w:val="none"/>
          <w:u w:val="none"/>
          <w:lang w:val="en-US" w:eastAsia="zh-CN"/>
        </w:rPr>
      </w:pPr>
      <w:r>
        <w:rPr>
          <w:rFonts w:hint="eastAsia" w:ascii="仿宋" w:hAnsi="仿宋" w:eastAsia="仿宋"/>
          <w:b/>
          <w:bCs/>
          <w:color w:val="auto"/>
          <w:sz w:val="32"/>
          <w:szCs w:val="32"/>
          <w:highlight w:val="none"/>
          <w:u w:val="none"/>
        </w:rPr>
        <w:t>三、</w:t>
      </w:r>
      <w:r>
        <w:rPr>
          <w:rFonts w:hint="eastAsia" w:ascii="仿宋" w:hAnsi="仿宋" w:eastAsia="仿宋"/>
          <w:b/>
          <w:bCs/>
          <w:color w:val="auto"/>
          <w:sz w:val="32"/>
          <w:szCs w:val="32"/>
          <w:highlight w:val="none"/>
          <w:u w:val="none"/>
          <w:lang w:val="en-US" w:eastAsia="zh-CN"/>
        </w:rPr>
        <w:t>服务内容及清单</w:t>
      </w:r>
    </w:p>
    <w:p w14:paraId="298C8D5C">
      <w:pPr>
        <w:widowControl/>
        <w:numPr>
          <w:ilvl w:val="-1"/>
          <w:numId w:val="0"/>
        </w:numPr>
        <w:spacing w:line="312" w:lineRule="auto"/>
        <w:ind w:firstLine="482" w:firstLineChars="200"/>
        <w:jc w:val="left"/>
        <w:outlineLvl w:val="9"/>
        <w:rPr>
          <w:rFonts w:hint="eastAsia" w:ascii="仿宋" w:hAnsi="仿宋" w:eastAsia="仿宋" w:cs="仿宋"/>
          <w:b/>
          <w:bCs/>
          <w:color w:val="auto"/>
          <w:sz w:val="24"/>
          <w:szCs w:val="22"/>
          <w:highlight w:val="none"/>
          <w:u w:val="none"/>
          <w:lang w:val="en-US" w:eastAsia="zh-CN"/>
        </w:rPr>
      </w:pPr>
      <w:r>
        <w:rPr>
          <w:rFonts w:hint="eastAsia" w:ascii="仿宋" w:hAnsi="仿宋" w:eastAsia="仿宋" w:cs="仿宋"/>
          <w:b/>
          <w:bCs/>
          <w:color w:val="auto"/>
          <w:sz w:val="24"/>
          <w:szCs w:val="22"/>
          <w:highlight w:val="none"/>
          <w:u w:val="none"/>
          <w:lang w:val="en-US" w:eastAsia="zh-CN"/>
        </w:rPr>
        <w:t>1.内容清单</w:t>
      </w:r>
    </w:p>
    <w:tbl>
      <w:tblPr>
        <w:tblStyle w:val="8"/>
        <w:tblW w:w="9275" w:type="dxa"/>
        <w:tblInd w:w="2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6"/>
        <w:gridCol w:w="7229"/>
      </w:tblGrid>
      <w:tr w14:paraId="2EEB4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467DA124">
            <w:pPr>
              <w:keepNext w:val="0"/>
              <w:keepLines w:val="0"/>
              <w:widowControl/>
              <w:suppressLineNumbers w:val="0"/>
              <w:spacing w:line="312" w:lineRule="auto"/>
              <w:jc w:val="center"/>
              <w:rPr>
                <w:rFonts w:hint="eastAsia" w:ascii="仿宋" w:hAnsi="仿宋" w:eastAsia="仿宋" w:cs="仿宋"/>
                <w:b w:val="0"/>
                <w:bCs w:val="0"/>
                <w:color w:val="auto"/>
                <w:kern w:val="2"/>
                <w:sz w:val="24"/>
                <w:szCs w:val="22"/>
                <w:highlight w:val="none"/>
                <w:u w:val="none"/>
                <w:lang w:val="en-US" w:eastAsia="zh-CN" w:bidi="ar-SA"/>
              </w:rPr>
            </w:pPr>
            <w:r>
              <w:rPr>
                <w:rFonts w:hint="eastAsia" w:ascii="仿宋" w:hAnsi="仿宋" w:eastAsia="仿宋" w:cs="仿宋"/>
                <w:b w:val="0"/>
                <w:bCs w:val="0"/>
                <w:color w:val="auto"/>
                <w:kern w:val="2"/>
                <w:sz w:val="24"/>
                <w:szCs w:val="22"/>
                <w:highlight w:val="none"/>
                <w:u w:val="none"/>
                <w:lang w:val="en-US" w:eastAsia="zh-CN" w:bidi="ar"/>
              </w:rPr>
              <w:t>工作内容</w:t>
            </w:r>
          </w:p>
        </w:tc>
        <w:tc>
          <w:tcPr>
            <w:tcW w:w="7229" w:type="dxa"/>
            <w:shd w:val="clear" w:color="auto" w:fill="auto"/>
            <w:vAlign w:val="center"/>
          </w:tcPr>
          <w:p w14:paraId="2021680F">
            <w:pPr>
              <w:keepNext w:val="0"/>
              <w:keepLines w:val="0"/>
              <w:widowControl/>
              <w:suppressLineNumbers w:val="0"/>
              <w:spacing w:line="312" w:lineRule="auto"/>
              <w:jc w:val="center"/>
              <w:rPr>
                <w:rFonts w:hint="eastAsia" w:ascii="仿宋" w:hAnsi="仿宋" w:eastAsia="仿宋" w:cs="仿宋"/>
                <w:b w:val="0"/>
                <w:bCs w:val="0"/>
                <w:color w:val="auto"/>
                <w:kern w:val="2"/>
                <w:sz w:val="24"/>
                <w:szCs w:val="22"/>
                <w:highlight w:val="none"/>
                <w:u w:val="none"/>
                <w:lang w:val="en-US" w:eastAsia="zh-CN" w:bidi="ar-SA"/>
              </w:rPr>
            </w:pPr>
            <w:r>
              <w:rPr>
                <w:rFonts w:hint="eastAsia" w:ascii="仿宋" w:hAnsi="仿宋" w:eastAsia="仿宋" w:cs="仿宋"/>
                <w:b w:val="0"/>
                <w:bCs w:val="0"/>
                <w:color w:val="auto"/>
                <w:kern w:val="2"/>
                <w:sz w:val="24"/>
                <w:szCs w:val="22"/>
                <w:highlight w:val="none"/>
                <w:u w:val="none"/>
                <w:lang w:val="en-US" w:eastAsia="zh-CN" w:bidi="ar"/>
              </w:rPr>
              <w:t>项目要求</w:t>
            </w:r>
          </w:p>
        </w:tc>
      </w:tr>
      <w:tr w14:paraId="30392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5E066741">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大型阵列数据处理</w:t>
            </w:r>
          </w:p>
        </w:tc>
        <w:tc>
          <w:tcPr>
            <w:tcW w:w="7229" w:type="dxa"/>
            <w:shd w:val="clear" w:color="auto" w:fill="auto"/>
            <w:vAlign w:val="center"/>
          </w:tcPr>
          <w:p w14:paraId="52A5A3B9">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建立多通道麦克风阵列数据读取、通道管理、幅值/相位校准、坏通道剔除、滤波、分段、频谱分析和互谱矩阵计算功能</w:t>
            </w:r>
          </w:p>
        </w:tc>
      </w:tr>
      <w:tr w14:paraId="223B0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21BAF624">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阵列几何建模</w:t>
            </w:r>
          </w:p>
        </w:tc>
        <w:tc>
          <w:tcPr>
            <w:tcW w:w="7229" w:type="dxa"/>
            <w:shd w:val="clear" w:color="auto" w:fill="auto"/>
            <w:vAlign w:val="center"/>
          </w:tcPr>
          <w:p w14:paraId="05C65260">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支持任意三维麦克风坐标输入，不限制为规则圆阵、十字阵等固定阵型，可适配甲方大型麦克风阵列</w:t>
            </w:r>
          </w:p>
        </w:tc>
      </w:tr>
      <w:tr w14:paraId="56436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539FCCEA">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转速与相位同步</w:t>
            </w:r>
          </w:p>
        </w:tc>
        <w:tc>
          <w:tcPr>
            <w:tcW w:w="7229" w:type="dxa"/>
            <w:shd w:val="clear" w:color="auto" w:fill="auto"/>
            <w:vAlign w:val="center"/>
          </w:tcPr>
          <w:p w14:paraId="0FA84E27">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支持转速计、光电编码器或转角脉冲输入，获得瞬时转速、转角及旋转相位，实现声学数据与旋转角度同步</w:t>
            </w:r>
          </w:p>
        </w:tc>
      </w:tr>
      <w:tr w14:paraId="26B3F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7704CE2F">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变转速处理</w:t>
            </w:r>
          </w:p>
        </w:tc>
        <w:tc>
          <w:tcPr>
            <w:tcW w:w="7229" w:type="dxa"/>
            <w:shd w:val="clear" w:color="auto" w:fill="auto"/>
            <w:vAlign w:val="center"/>
          </w:tcPr>
          <w:p w14:paraId="16BE59B2">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对试验过程中一定范围内的转速波动具有适应能力，能够采用重采样、角域处理或其他方法避免转速波动导致定位结果模糊</w:t>
            </w:r>
          </w:p>
        </w:tc>
      </w:tr>
      <w:tr w14:paraId="34937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65B7BB9E">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旋转坐标变换</w:t>
            </w:r>
          </w:p>
        </w:tc>
        <w:tc>
          <w:tcPr>
            <w:tcW w:w="7229" w:type="dxa"/>
            <w:shd w:val="clear" w:color="auto" w:fill="auto"/>
            <w:vAlign w:val="center"/>
          </w:tcPr>
          <w:p w14:paraId="6C6EAE9A">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建立固定阵列坐标系与随转子旋转坐标系之间的坐标转换，实现声源结果在旋转部件坐标系中的稳定显示</w:t>
            </w:r>
          </w:p>
        </w:tc>
      </w:tr>
      <w:tr w14:paraId="705B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2C3F3D3D">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传播时延修正</w:t>
            </w:r>
          </w:p>
        </w:tc>
        <w:tc>
          <w:tcPr>
            <w:tcW w:w="7229" w:type="dxa"/>
            <w:shd w:val="clear" w:color="auto" w:fill="auto"/>
            <w:vAlign w:val="center"/>
          </w:tcPr>
          <w:p w14:paraId="019C1818">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根据瞬时声源位置、麦克风位置和传播距离计算传播时延，并进行相应的延时补偿</w:t>
            </w:r>
          </w:p>
        </w:tc>
      </w:tr>
      <w:tr w14:paraId="33ED4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5A7CDFEF">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多普勒效应修正</w:t>
            </w:r>
          </w:p>
        </w:tc>
        <w:tc>
          <w:tcPr>
            <w:tcW w:w="7229" w:type="dxa"/>
            <w:shd w:val="clear" w:color="auto" w:fill="auto"/>
            <w:vAlign w:val="center"/>
          </w:tcPr>
          <w:p w14:paraId="626E1FE6">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正确考虑旋转运动引起的多普勒频移和相位变化，避免直接采用静止波束形成造成声源位置拖尾和失焦</w:t>
            </w:r>
          </w:p>
        </w:tc>
      </w:tr>
      <w:tr w14:paraId="3E95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228069DD">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旋转波束形成</w:t>
            </w:r>
          </w:p>
        </w:tc>
        <w:tc>
          <w:tcPr>
            <w:tcW w:w="7229" w:type="dxa"/>
            <w:shd w:val="clear" w:color="auto" w:fill="auto"/>
            <w:vAlign w:val="center"/>
          </w:tcPr>
          <w:p w14:paraId="3D2FCDAD">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开发适用于旋转声源的频域或时域波束形成方法，实现旋转参考系中的稳定声源成像</w:t>
            </w:r>
          </w:p>
        </w:tc>
      </w:tr>
      <w:tr w14:paraId="2079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6A528BA9">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高分辨率定位</w:t>
            </w:r>
          </w:p>
        </w:tc>
        <w:tc>
          <w:tcPr>
            <w:tcW w:w="7229" w:type="dxa"/>
            <w:shd w:val="clear" w:color="auto" w:fill="auto"/>
            <w:vAlign w:val="center"/>
          </w:tcPr>
          <w:p w14:paraId="0478DF12">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在常规波束形成基础上至少实现一种高分辨率声源重构算法，如 CLEAN-SC、DAMAS、稀疏重构或性能相当的方法</w:t>
            </w:r>
          </w:p>
        </w:tc>
      </w:tr>
      <w:tr w14:paraId="744C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26923B33">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高背景噪声抑制</w:t>
            </w:r>
          </w:p>
        </w:tc>
        <w:tc>
          <w:tcPr>
            <w:tcW w:w="7229" w:type="dxa"/>
            <w:shd w:val="clear" w:color="auto" w:fill="auto"/>
            <w:vAlign w:val="center"/>
          </w:tcPr>
          <w:p w14:paraId="076BA64E">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针对风墙运行噪声、湍流压力脉动和非声学扰动，研究并实现互谱矩阵处理、背景噪声扣除、对角线处理、相干/非相干成分分离或其他有效方法</w:t>
            </w:r>
          </w:p>
        </w:tc>
      </w:tr>
      <w:tr w14:paraId="1E4D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5E6D4E36">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阶次声源定位</w:t>
            </w:r>
          </w:p>
        </w:tc>
        <w:tc>
          <w:tcPr>
            <w:tcW w:w="7229" w:type="dxa"/>
            <w:shd w:val="clear" w:color="auto" w:fill="auto"/>
            <w:vAlign w:val="center"/>
          </w:tcPr>
          <w:p w14:paraId="31EE2805">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能够按照旋转基频及其倍频进行阶次声源定位，获得 BPF、2BPF、3BPF 等典型旋转阶次对应的声源空间分布</w:t>
            </w:r>
          </w:p>
        </w:tc>
      </w:tr>
      <w:tr w14:paraId="77850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1819684E">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宽带声源定位</w:t>
            </w:r>
          </w:p>
        </w:tc>
        <w:tc>
          <w:tcPr>
            <w:tcW w:w="7229" w:type="dxa"/>
            <w:shd w:val="clear" w:color="auto" w:fill="auto"/>
            <w:vAlign w:val="center"/>
          </w:tcPr>
          <w:p w14:paraId="04DB219E">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支持用户指定频段、倍频程/1/3倍频程或自定义频带的宽带声源成像</w:t>
            </w:r>
          </w:p>
        </w:tc>
      </w:tr>
      <w:tr w14:paraId="6E2D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5D08958A">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周期相位分析</w:t>
            </w:r>
          </w:p>
        </w:tc>
        <w:tc>
          <w:tcPr>
            <w:tcW w:w="7229" w:type="dxa"/>
            <w:shd w:val="clear" w:color="auto" w:fill="auto"/>
            <w:vAlign w:val="center"/>
          </w:tcPr>
          <w:p w14:paraId="1BC61459">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支持按旋转相位进行条件平均或相位锁定分析，用于研究声源在一个旋转周期内的变化规律</w:t>
            </w:r>
          </w:p>
        </w:tc>
      </w:tr>
      <w:tr w14:paraId="2D1F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7601FED8">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多声源识别</w:t>
            </w:r>
          </w:p>
        </w:tc>
        <w:tc>
          <w:tcPr>
            <w:tcW w:w="7229" w:type="dxa"/>
            <w:shd w:val="clear" w:color="auto" w:fill="auto"/>
            <w:vAlign w:val="center"/>
          </w:tcPr>
          <w:p w14:paraId="5AAE9DBC">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对不同桨叶、不同径向位置或者多个同时存在的旋转声源具有一定空间分辨能力</w:t>
            </w:r>
          </w:p>
        </w:tc>
      </w:tr>
      <w:tr w14:paraId="6B1FC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74DC98AE">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声源定量分析</w:t>
            </w:r>
          </w:p>
        </w:tc>
        <w:tc>
          <w:tcPr>
            <w:tcW w:w="7229" w:type="dxa"/>
            <w:shd w:val="clear" w:color="auto" w:fill="auto"/>
            <w:vAlign w:val="center"/>
          </w:tcPr>
          <w:p w14:paraId="16B63E43">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能够对指定空间区域进行积分，输出不同声源区域、不同频率及不同阶次的相对声学贡献</w:t>
            </w:r>
          </w:p>
        </w:tc>
      </w:tr>
      <w:tr w14:paraId="7EABF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7F1FB9C2">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可视化</w:t>
            </w:r>
          </w:p>
        </w:tc>
        <w:tc>
          <w:tcPr>
            <w:tcW w:w="7229" w:type="dxa"/>
            <w:shd w:val="clear" w:color="auto" w:fill="auto"/>
            <w:vAlign w:val="center"/>
          </w:tcPr>
          <w:p w14:paraId="083DCA80">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输出二维/三维声源云图，可叠加桨叶、旋翼或试验模型几何轮廓，并支持声源图随频率、阶次或转角变化显示</w:t>
            </w:r>
          </w:p>
        </w:tc>
      </w:tr>
      <w:tr w14:paraId="6461B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46" w:type="dxa"/>
            <w:shd w:val="clear" w:color="auto" w:fill="auto"/>
            <w:vAlign w:val="center"/>
          </w:tcPr>
          <w:p w14:paraId="47B5E3AE">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批处理</w:t>
            </w:r>
          </w:p>
        </w:tc>
        <w:tc>
          <w:tcPr>
            <w:tcW w:w="7229" w:type="dxa"/>
            <w:shd w:val="clear" w:color="auto" w:fill="auto"/>
            <w:vAlign w:val="center"/>
          </w:tcPr>
          <w:p w14:paraId="7E292D11">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
              </w:rPr>
              <w:t>支持多工况数据批量计算，避免逐工况人工重复设置和处理</w:t>
            </w:r>
          </w:p>
        </w:tc>
      </w:tr>
    </w:tbl>
    <w:p w14:paraId="55A6346A">
      <w:pPr>
        <w:widowControl/>
        <w:numPr>
          <w:ilvl w:val="-1"/>
          <w:numId w:val="0"/>
        </w:numPr>
        <w:tabs>
          <w:tab w:val="left" w:pos="900"/>
        </w:tabs>
        <w:spacing w:line="312" w:lineRule="auto"/>
        <w:ind w:firstLine="482" w:firstLineChars="200"/>
        <w:jc w:val="left"/>
        <w:outlineLvl w:val="9"/>
        <w:rPr>
          <w:rFonts w:hint="eastAsia" w:ascii="仿宋" w:hAnsi="仿宋" w:eastAsia="仿宋" w:cs="仿宋"/>
          <w:b/>
          <w:bCs/>
          <w:color w:val="auto"/>
          <w:sz w:val="24"/>
          <w:szCs w:val="22"/>
          <w:highlight w:val="none"/>
          <w:u w:val="none"/>
          <w:lang w:val="en-US" w:eastAsia="zh-CN"/>
        </w:rPr>
      </w:pPr>
      <w:r>
        <w:rPr>
          <w:rFonts w:hint="eastAsia" w:ascii="仿宋" w:hAnsi="仿宋" w:eastAsia="仿宋" w:cs="仿宋"/>
          <w:b/>
          <w:bCs/>
          <w:color w:val="auto"/>
          <w:sz w:val="24"/>
          <w:szCs w:val="22"/>
          <w:highlight w:val="none"/>
          <w:u w:val="none"/>
          <w:lang w:val="en-US" w:eastAsia="zh-CN"/>
        </w:rPr>
        <w:t>2.重点技术要求</w:t>
      </w:r>
    </w:p>
    <w:p w14:paraId="06AEA285">
      <w:pPr>
        <w:pStyle w:val="2"/>
        <w:keepNext w:val="0"/>
        <w:keepLines w:val="0"/>
        <w:widowControl/>
        <w:suppressLineNumbers w:val="0"/>
        <w:spacing w:line="312" w:lineRule="auto"/>
        <w:ind w:firstLine="482" w:firstLineChars="200"/>
        <w:jc w:val="both"/>
        <w:rPr>
          <w:rFonts w:hint="eastAsia" w:ascii="仿宋" w:hAnsi="仿宋" w:eastAsia="仿宋" w:cs="仿宋"/>
          <w:b/>
          <w:bCs/>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1</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 xml:space="preserve"> 旋转声源定位</w:t>
      </w:r>
    </w:p>
    <w:p w14:paraId="6326571C">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本项目的核心不是将常规静止声源波束形成简单应用于旋转机械，而是应在声传播模型中显式考虑声源旋转运动。</w:t>
      </w:r>
    </w:p>
    <w:p w14:paraId="536E4347">
      <w:pPr>
        <w:pStyle w:val="6"/>
        <w:spacing w:line="312" w:lineRule="auto"/>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算法应根据转子的瞬时转角确定声源扫描点随时间的位置，并计算扫描点至各阵列麦克风之间随时间变化的传播距离和传播时间。在必要情况下考虑运动声源的多普勒效应以及相位修正。</w:t>
      </w:r>
    </w:p>
    <w:p w14:paraId="44E489AB">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对于转速稳定工况，应能够获得在随转子旋转坐标系下稳定、不发生明显周向拖尾的声源图。</w:t>
      </w:r>
    </w:p>
    <w:p w14:paraId="2908CFB5">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对于存在一定转速波动的工况，应采用瞬时转速/转角信息进行修正，避免简单按照平均转速处理造成明显定位误差。</w:t>
      </w:r>
    </w:p>
    <w:p w14:paraId="161B9434">
      <w:pPr>
        <w:pStyle w:val="6"/>
        <w:spacing w:line="312" w:lineRule="auto"/>
        <w:ind w:firstLineChars="0"/>
        <w:rPr>
          <w:rFonts w:hint="eastAsia" w:ascii="仿宋" w:hAnsi="仿宋" w:eastAsia="仿宋" w:cs="仿宋"/>
          <w:b/>
          <w:bCs/>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2</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风墙高背景噪声处理</w:t>
      </w:r>
    </w:p>
    <w:p w14:paraId="065C3944">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算法必须针对本项目风墙试验环境进行专门设计，不能仅在低背景噪声实验室环境下验证。</w:t>
      </w:r>
    </w:p>
    <w:p w14:paraId="7F523850">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应分析风墙背景噪声的频谱、空间相干特性和阵列互谱矩阵特性，在此基础上开发背景噪声抑制方案。对于麦克风表面湍流压力脉动等非声学扰动，应考虑采用互谱矩阵对角线处理、空间相干特征提取、背景工况扣除、子空间分离或其他适当方法降低其影响。</w:t>
      </w:r>
    </w:p>
    <w:p w14:paraId="24380573">
      <w:pPr>
        <w:pStyle w:val="6"/>
        <w:spacing w:line="312" w:lineRule="auto"/>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在条件允许时，应利用“风墙开启但被测旋转声源未运行”的背景试验数据建立背景噪声模型，并支持背景数据与正式试验数据之间的自动匹配与修正。</w:t>
      </w:r>
    </w:p>
    <w:p w14:paraId="61F2712A">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背景抑制算法不得以明显破坏真实旋转声源空间分布为代价，应通过模拟数据及实际试验分别验证。</w:t>
      </w:r>
    </w:p>
    <w:p w14:paraId="4FCDB063">
      <w:pPr>
        <w:pStyle w:val="6"/>
        <w:spacing w:line="312" w:lineRule="auto"/>
        <w:ind w:firstLineChars="0"/>
        <w:rPr>
          <w:rFonts w:hint="eastAsia" w:ascii="仿宋" w:hAnsi="仿宋" w:eastAsia="仿宋" w:cs="仿宋"/>
          <w:b/>
          <w:bCs/>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3</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阵列规模及算法效率</w:t>
      </w:r>
    </w:p>
    <w:p w14:paraId="1078087A">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算法不得绑定特定阵列形式，应采用麦克风三维坐标作为阵列几何输入。</w:t>
      </w:r>
    </w:p>
    <w:p w14:paraId="0A6A69EC">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软件架构应适合大型多通道麦克风阵列计算，并考虑多核 CPU 并行计算以及必要的 GPU 加速。</w:t>
      </w:r>
    </w:p>
    <w:p w14:paraId="4BC2DFB3">
      <w:pPr>
        <w:pStyle w:val="6"/>
        <w:spacing w:line="312" w:lineRule="auto"/>
        <w:ind w:firstLineChars="0"/>
        <w:rPr>
          <w:rFonts w:hint="eastAsia" w:ascii="仿宋" w:hAnsi="仿宋" w:eastAsia="仿宋" w:cs="仿宋"/>
          <w:b w:val="0"/>
          <w:bCs w:val="0"/>
          <w:color w:val="auto"/>
          <w:kern w:val="2"/>
          <w:sz w:val="24"/>
          <w:szCs w:val="22"/>
          <w:highlight w:val="none"/>
          <w:u w:val="none"/>
        </w:rPr>
      </w:pPr>
      <w:r>
        <w:rPr>
          <w:rFonts w:hint="eastAsia" w:ascii="仿宋" w:hAnsi="仿宋" w:eastAsia="仿宋" w:cs="仿宋"/>
          <w:b w:val="0"/>
          <w:bCs w:val="0"/>
          <w:color w:val="auto"/>
          <w:kern w:val="2"/>
          <w:sz w:val="24"/>
          <w:szCs w:val="22"/>
          <w:highlight w:val="none"/>
          <w:u w:val="none"/>
        </w:rPr>
        <w:t>算法参数、扫描网格、频率范围、阵列通道数量和扫描区域均应可以配置，不允许将试验参数硬编码在程序内部。</w:t>
      </w:r>
    </w:p>
    <w:p w14:paraId="04A9E3A4">
      <w:pPr>
        <w:pStyle w:val="6"/>
        <w:spacing w:line="312" w:lineRule="auto"/>
        <w:ind w:firstLineChars="0"/>
        <w:rPr>
          <w:rFonts w:hint="eastAsia" w:ascii="仿宋" w:hAnsi="仿宋" w:eastAsia="仿宋" w:cs="仿宋"/>
          <w:b w:val="0"/>
          <w:bCs w:val="0"/>
          <w:color w:val="auto"/>
          <w:sz w:val="24"/>
          <w:szCs w:val="22"/>
          <w:highlight w:val="none"/>
          <w:u w:val="none"/>
        </w:rPr>
      </w:pPr>
      <w:r>
        <w:rPr>
          <w:rFonts w:hint="eastAsia" w:ascii="仿宋" w:hAnsi="仿宋" w:eastAsia="仿宋" w:cs="仿宋"/>
          <w:color w:val="auto"/>
          <w:sz w:val="24"/>
          <w:szCs w:val="22"/>
          <w:highlight w:val="none"/>
          <w:u w:val="none"/>
        </w:rPr>
        <w:t>对于典型试验数据，计算效率应达到实际工程应用要求。最终验收阶段由双方选定统一计算平台和标准数据集，对处理时间和内存占用进行测试。</w:t>
      </w:r>
    </w:p>
    <w:p w14:paraId="48A38743">
      <w:pPr>
        <w:widowControl/>
        <w:numPr>
          <w:ilvl w:val="-1"/>
          <w:numId w:val="0"/>
        </w:numPr>
        <w:tabs>
          <w:tab w:val="left" w:pos="900"/>
        </w:tabs>
        <w:spacing w:line="312" w:lineRule="auto"/>
        <w:ind w:firstLine="482" w:firstLineChars="200"/>
        <w:jc w:val="left"/>
        <w:outlineLvl w:val="9"/>
        <w:rPr>
          <w:rFonts w:hint="eastAsia" w:ascii="仿宋" w:hAnsi="仿宋" w:eastAsia="仿宋" w:cs="仿宋"/>
          <w:b/>
          <w:bCs/>
          <w:color w:val="auto"/>
          <w:sz w:val="24"/>
          <w:szCs w:val="22"/>
          <w:highlight w:val="none"/>
          <w:u w:val="none"/>
          <w:lang w:val="en-US" w:eastAsia="zh-CN"/>
        </w:rPr>
      </w:pPr>
      <w:r>
        <w:rPr>
          <w:rFonts w:hint="eastAsia" w:ascii="仿宋" w:hAnsi="仿宋" w:eastAsia="仿宋" w:cs="仿宋"/>
          <w:b/>
          <w:bCs/>
          <w:color w:val="auto"/>
          <w:sz w:val="24"/>
          <w:szCs w:val="22"/>
          <w:highlight w:val="none"/>
          <w:u w:val="none"/>
          <w:lang w:val="en-US" w:eastAsia="zh-CN"/>
        </w:rPr>
        <w:t>3.算法功能要求</w:t>
      </w:r>
    </w:p>
    <w:p w14:paraId="477D0A70">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最终软件至少应具有</w:t>
      </w:r>
      <w:r>
        <w:rPr>
          <w:rStyle w:val="10"/>
          <w:rFonts w:hint="eastAsia" w:ascii="仿宋" w:hAnsi="仿宋" w:eastAsia="仿宋" w:cs="仿宋"/>
          <w:b w:val="0"/>
          <w:bCs w:val="0"/>
          <w:color w:val="auto"/>
          <w:kern w:val="2"/>
          <w:sz w:val="24"/>
          <w:szCs w:val="22"/>
          <w:highlight w:val="none"/>
          <w:u w:val="none"/>
        </w:rPr>
        <w:t>常规静止波束形成、旋转参考系波束形成、旋转多普勒/传播时延修正、高分辨率去卷积、阶次声源定位、宽带声源定位、高背景噪声抑制、区域声功率/声源贡献分析、批量计算和声源图导出</w:t>
      </w:r>
      <w:r>
        <w:rPr>
          <w:rFonts w:hint="eastAsia" w:ascii="仿宋" w:hAnsi="仿宋" w:eastAsia="仿宋" w:cs="仿宋"/>
          <w:color w:val="auto"/>
          <w:kern w:val="2"/>
          <w:sz w:val="24"/>
          <w:szCs w:val="22"/>
          <w:highlight w:val="none"/>
          <w:u w:val="none"/>
        </w:rPr>
        <w:t>等功能。</w:t>
      </w:r>
    </w:p>
    <w:p w14:paraId="278FF1B9">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频率分析应至少支持 FFT窄带、自定义频带以及1/3倍频程处理。</w:t>
      </w:r>
    </w:p>
    <w:p w14:paraId="5AA58B05">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转动相关分析至少应支持转速、转角、阶次以及旋转相位信息的输入和处理。</w:t>
      </w:r>
    </w:p>
    <w:p w14:paraId="58B2AEBF">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软件应能够保存完整计算参数，使同一数据采用相同参数重复计算时能够获得一致结果。</w:t>
      </w:r>
    </w:p>
    <w:p w14:paraId="78F677D5">
      <w:pPr>
        <w:pStyle w:val="6"/>
        <w:spacing w:line="312" w:lineRule="auto"/>
        <w:ind w:firstLine="482" w:firstLineChars="200"/>
        <w:rPr>
          <w:rFonts w:hint="eastAsia" w:ascii="仿宋" w:hAnsi="仿宋" w:eastAsia="仿宋" w:cs="仿宋"/>
          <w:b/>
          <w:bCs/>
          <w:color w:val="auto"/>
          <w:kern w:val="2"/>
          <w:sz w:val="24"/>
          <w:szCs w:val="22"/>
          <w:highlight w:val="none"/>
          <w:u w:val="none"/>
          <w:lang w:val="en-US" w:eastAsia="zh-CN"/>
        </w:rPr>
      </w:pPr>
      <w:r>
        <w:rPr>
          <w:rFonts w:hint="eastAsia" w:ascii="仿宋" w:hAnsi="仿宋" w:eastAsia="仿宋" w:cs="仿宋"/>
          <w:b/>
          <w:bCs/>
          <w:color w:val="auto"/>
          <w:kern w:val="2"/>
          <w:sz w:val="24"/>
          <w:szCs w:val="22"/>
          <w:highlight w:val="none"/>
          <w:u w:val="none"/>
          <w:lang w:val="en-US" w:eastAsia="zh-CN"/>
        </w:rPr>
        <w:t>4.软件及接口要求</w:t>
      </w:r>
    </w:p>
    <w:p w14:paraId="1FFBAAB6">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算法应采用模块化设计，能够独立运行，同时便于集成进入甲方的大型麦克风阵列声源定位系统。</w:t>
      </w:r>
    </w:p>
    <w:p w14:paraId="2F0F51D5">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输入至少包括多通道声压时域数据、采样率、麦克风三维坐标、转速/转角信号、声速及试验环境参数、扫描区域和扫描网格。</w:t>
      </w:r>
    </w:p>
    <w:p w14:paraId="3D510023">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输出至少包括声源定位矩阵、频率或阶次信息、扫描网格坐标、声源级结果和处理参数，同时支持常用数据格式导出。</w:t>
      </w:r>
    </w:p>
    <w:p w14:paraId="1FD48F30">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核心算法不得依赖必须</w:t>
      </w:r>
      <w:r>
        <w:rPr>
          <w:rFonts w:hint="eastAsia" w:ascii="仿宋" w:hAnsi="仿宋" w:eastAsia="仿宋" w:cs="仿宋"/>
          <w:b w:val="0"/>
          <w:bCs w:val="0"/>
          <w:color w:val="auto"/>
          <w:kern w:val="2"/>
          <w:sz w:val="24"/>
          <w:szCs w:val="22"/>
          <w:highlight w:val="none"/>
          <w:u w:val="none"/>
        </w:rPr>
        <w:t>联网运行的第三方服务。除双方事先书面确认的软件外，不允许使用会限制甲方后续部署的软</w:t>
      </w:r>
      <w:r>
        <w:rPr>
          <w:rFonts w:hint="eastAsia" w:ascii="仿宋" w:hAnsi="仿宋" w:eastAsia="仿宋" w:cs="仿宋"/>
          <w:color w:val="auto"/>
          <w:kern w:val="2"/>
          <w:sz w:val="24"/>
          <w:szCs w:val="22"/>
          <w:highlight w:val="none"/>
          <w:u w:val="none"/>
        </w:rPr>
        <w:t>件授权、硬件加密狗、云端计算接口或不可获取的商业算法库作为核心依赖。</w:t>
      </w:r>
    </w:p>
    <w:p w14:paraId="6AAAC507">
      <w:pPr>
        <w:pStyle w:val="5"/>
        <w:widowControl/>
        <w:numPr>
          <w:ilvl w:val="0"/>
          <w:numId w:val="0"/>
        </w:numPr>
        <w:spacing w:line="312" w:lineRule="auto"/>
        <w:ind w:firstLine="0" w:firstLineChars="0"/>
        <w:outlineLvl w:val="1"/>
        <w:rPr>
          <w:rFonts w:hint="eastAsia" w:ascii="仿宋" w:hAnsi="仿宋" w:eastAsia="仿宋" w:cs="Times New Roman"/>
          <w:b/>
          <w:bCs/>
          <w:color w:val="auto"/>
          <w:kern w:val="2"/>
          <w:sz w:val="32"/>
          <w:szCs w:val="32"/>
          <w:highlight w:val="none"/>
          <w:u w:val="none"/>
          <w:lang w:val="en-US" w:eastAsia="zh-CN"/>
        </w:rPr>
      </w:pPr>
      <w:r>
        <w:rPr>
          <w:rFonts w:hint="eastAsia" w:ascii="仿宋" w:hAnsi="仿宋" w:eastAsia="仿宋" w:cs="Times New Roman"/>
          <w:b/>
          <w:bCs/>
          <w:color w:val="auto"/>
          <w:kern w:val="2"/>
          <w:sz w:val="32"/>
          <w:szCs w:val="32"/>
          <w:highlight w:val="none"/>
          <w:u w:val="none"/>
          <w:lang w:val="en-US" w:eastAsia="zh-CN" w:bidi="ar-SA"/>
        </w:rPr>
        <w:t>四、</w:t>
      </w:r>
      <w:r>
        <w:rPr>
          <w:rFonts w:hint="eastAsia" w:ascii="仿宋" w:hAnsi="仿宋" w:eastAsia="仿宋" w:cs="Times New Roman"/>
          <w:b/>
          <w:bCs/>
          <w:color w:val="auto"/>
          <w:kern w:val="2"/>
          <w:sz w:val="32"/>
          <w:szCs w:val="32"/>
          <w:highlight w:val="none"/>
          <w:u w:val="none"/>
          <w:lang w:val="en-US" w:eastAsia="zh-CN"/>
        </w:rPr>
        <w:t>交付成果</w:t>
      </w:r>
    </w:p>
    <w:p w14:paraId="72D134B0">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1</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算法源代码</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包括旋转声源定位、背景噪声处理、波束形成、高分辨率重构、阶次分析等本项目形成的全部核心算法源代码，不接受仅交付 DLL、EXE 或其他无法检查核心算法实现的黑盒程序。</w:t>
      </w:r>
    </w:p>
    <w:p w14:paraId="65219185">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2</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可运行软件</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提供能够读取实际阵列数据并完成完整计算的软件或算法模块，包括必要的运行环境和部署说明。</w:t>
      </w:r>
    </w:p>
    <w:p w14:paraId="7496D55E">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3</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算法理论报告</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对旋转声源定位的数学模型、坐标变换、传播时延、多普勒处理、互谱矩阵构造、高背景噪声处理和高分辨率算法进行完整说明，关键公式及变量定义应清晰完整。</w:t>
      </w:r>
    </w:p>
    <w:p w14:paraId="7D201613">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lang w:val="en-US" w:eastAsia="zh-CN"/>
        </w:rPr>
        <w:t>4）</w:t>
      </w:r>
      <w:r>
        <w:rPr>
          <w:rFonts w:hint="eastAsia" w:ascii="仿宋" w:hAnsi="仿宋" w:eastAsia="仿宋" w:cs="仿宋"/>
          <w:b/>
          <w:bCs/>
          <w:color w:val="auto"/>
          <w:kern w:val="2"/>
          <w:sz w:val="24"/>
          <w:szCs w:val="22"/>
          <w:highlight w:val="none"/>
          <w:u w:val="none"/>
        </w:rPr>
        <w:t>软件设计说明书</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说明程序结构、模块接口、数据结构、配置参数及第三方依赖。</w:t>
      </w:r>
    </w:p>
    <w:p w14:paraId="5DCC8A1F">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lang w:val="en-US" w:eastAsia="zh-CN"/>
        </w:rPr>
        <w:t>5）</w:t>
      </w:r>
      <w:r>
        <w:rPr>
          <w:rFonts w:hint="eastAsia" w:ascii="仿宋" w:hAnsi="仿宋" w:eastAsia="仿宋" w:cs="仿宋"/>
          <w:b/>
          <w:bCs/>
          <w:color w:val="auto"/>
          <w:kern w:val="2"/>
          <w:sz w:val="24"/>
          <w:szCs w:val="22"/>
          <w:highlight w:val="none"/>
          <w:u w:val="none"/>
        </w:rPr>
        <w:t>用户使用说明书</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包括数据输入、参数设置、计算流程、结果读取、典型问题处理等。</w:t>
      </w:r>
    </w:p>
    <w:p w14:paraId="4BB25D72">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lang w:val="en-US" w:eastAsia="zh-CN"/>
        </w:rPr>
        <w:t>6）</w:t>
      </w:r>
      <w:r>
        <w:rPr>
          <w:rFonts w:hint="eastAsia" w:ascii="仿宋" w:hAnsi="仿宋" w:eastAsia="仿宋" w:cs="仿宋"/>
          <w:b/>
          <w:bCs/>
          <w:color w:val="auto"/>
          <w:kern w:val="2"/>
          <w:sz w:val="24"/>
          <w:szCs w:val="22"/>
          <w:highlight w:val="none"/>
          <w:u w:val="none"/>
        </w:rPr>
        <w:t>验证报告</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包含模拟声源、可控试验和实际风墙数据的测试条件、计算结果及误差分析。</w:t>
      </w:r>
    </w:p>
    <w:p w14:paraId="0F01067D">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lang w:val="en-US" w:eastAsia="zh-CN"/>
        </w:rPr>
        <w:t>7</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rPr>
        <w:t>测试数据及测试脚本</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交付用于验收的典型数据以及能够重复运行主要测试项目的脚本或测试程序。</w:t>
      </w:r>
    </w:p>
    <w:p w14:paraId="35BCD1F8">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lang w:val="en-US" w:eastAsia="zh-CN"/>
        </w:rPr>
        <w:t>8）</w:t>
      </w:r>
      <w:r>
        <w:rPr>
          <w:rFonts w:hint="eastAsia" w:ascii="仿宋" w:hAnsi="仿宋" w:eastAsia="仿宋" w:cs="仿宋"/>
          <w:b/>
          <w:bCs/>
          <w:color w:val="auto"/>
          <w:kern w:val="2"/>
          <w:sz w:val="24"/>
          <w:szCs w:val="22"/>
          <w:highlight w:val="none"/>
          <w:u w:val="none"/>
        </w:rPr>
        <w:t>示例工程</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至少包含静止声源、旋转声源、高背景噪声旋转声源和实际风墙工况的完整示例。</w:t>
      </w:r>
    </w:p>
    <w:p w14:paraId="77037BCA">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b/>
          <w:bCs/>
          <w:color w:val="auto"/>
          <w:kern w:val="2"/>
          <w:sz w:val="24"/>
          <w:szCs w:val="22"/>
          <w:highlight w:val="none"/>
          <w:u w:val="none"/>
          <w:lang w:val="en-US" w:eastAsia="zh-CN"/>
        </w:rPr>
        <w:t>9）</w:t>
      </w:r>
      <w:r>
        <w:rPr>
          <w:rFonts w:hint="eastAsia" w:ascii="仿宋" w:hAnsi="仿宋" w:eastAsia="仿宋" w:cs="仿宋"/>
          <w:b/>
          <w:bCs/>
          <w:color w:val="auto"/>
          <w:kern w:val="2"/>
          <w:sz w:val="24"/>
          <w:szCs w:val="22"/>
          <w:highlight w:val="none"/>
          <w:u w:val="none"/>
        </w:rPr>
        <w:t>培训与技术支持</w:t>
      </w:r>
      <w:r>
        <w:rPr>
          <w:rFonts w:hint="eastAsia" w:ascii="仿宋" w:hAnsi="仿宋" w:eastAsia="仿宋" w:cs="仿宋"/>
          <w:b/>
          <w:bCs/>
          <w:color w:val="auto"/>
          <w:kern w:val="2"/>
          <w:sz w:val="24"/>
          <w:szCs w:val="22"/>
          <w:highlight w:val="none"/>
          <w:u w:val="none"/>
          <w:lang w:eastAsia="zh-CN"/>
        </w:rPr>
        <w:t>：</w:t>
      </w:r>
      <w:r>
        <w:rPr>
          <w:rFonts w:hint="eastAsia" w:ascii="仿宋" w:hAnsi="仿宋" w:eastAsia="仿宋" w:cs="仿宋"/>
          <w:color w:val="auto"/>
          <w:kern w:val="2"/>
          <w:sz w:val="24"/>
          <w:szCs w:val="22"/>
          <w:highlight w:val="none"/>
          <w:u w:val="none"/>
        </w:rPr>
        <w:t>完成算法原理、软件使用及二次开发接口培训，并配合甲方完成系统集成和最终验收。</w:t>
      </w:r>
    </w:p>
    <w:p w14:paraId="29DCCB97">
      <w:pPr>
        <w:widowControl/>
        <w:numPr>
          <w:ilvl w:val="0"/>
          <w:numId w:val="0"/>
        </w:numPr>
        <w:spacing w:line="312" w:lineRule="auto"/>
        <w:jc w:val="left"/>
        <w:outlineLvl w:val="1"/>
        <w:rPr>
          <w:rFonts w:hint="eastAsia" w:ascii="仿宋" w:hAnsi="仿宋" w:eastAsia="仿宋" w:cs="Times New Roman"/>
          <w:b/>
          <w:bCs/>
          <w:color w:val="auto"/>
          <w:kern w:val="2"/>
          <w:sz w:val="32"/>
          <w:szCs w:val="32"/>
          <w:highlight w:val="none"/>
          <w:u w:val="none"/>
          <w:lang w:val="en-US" w:eastAsia="zh-CN"/>
        </w:rPr>
      </w:pPr>
      <w:r>
        <w:rPr>
          <w:rFonts w:hint="eastAsia" w:ascii="仿宋" w:hAnsi="仿宋" w:eastAsia="仿宋" w:cs="Times New Roman"/>
          <w:b/>
          <w:bCs/>
          <w:color w:val="auto"/>
          <w:kern w:val="2"/>
          <w:sz w:val="32"/>
          <w:szCs w:val="32"/>
          <w:highlight w:val="none"/>
          <w:u w:val="none"/>
          <w:lang w:val="en-US" w:eastAsia="zh-CN"/>
        </w:rPr>
        <w:t>五、算法验证及验收要求</w:t>
      </w:r>
    </w:p>
    <w:p w14:paraId="364AF861">
      <w:pPr>
        <w:pStyle w:val="6"/>
        <w:keepNext w:val="0"/>
        <w:keepLines w:val="0"/>
        <w:widowControl/>
        <w:suppressLineNumbers w:val="0"/>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项目验收不得仅采用软件界面演示，应建立完整的分级验证体系。</w:t>
      </w:r>
    </w:p>
    <w:p w14:paraId="2587C170">
      <w:pPr>
        <w:pStyle w:val="6"/>
        <w:keepNext w:val="0"/>
        <w:keepLines w:val="0"/>
        <w:widowControl/>
        <w:suppressLineNumbers w:val="0"/>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第一层采用理论或数值模拟声源进行验证，包括静止点声源、单个旋转点声源、多个旋转点声源以及不同信噪比条件。通过已知声源位置与算法预测结果进行直接比较，验证传播时延、旋转坐标变换、多普勒修正及背景噪声抑制的正确性。</w:t>
      </w:r>
    </w:p>
    <w:p w14:paraId="0633C87E">
      <w:pPr>
        <w:pStyle w:val="6"/>
        <w:keepNext w:val="0"/>
        <w:keepLines w:val="0"/>
        <w:widowControl/>
        <w:suppressLineNumbers w:val="0"/>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第二层采用扬声器或可控旋转声源进行实验室验证，对已知位置和已知转速的旋转声源进行测量。</w:t>
      </w:r>
    </w:p>
    <w:p w14:paraId="1880ED0F">
      <w:pPr>
        <w:pStyle w:val="6"/>
        <w:keepNext w:val="0"/>
        <w:keepLines w:val="0"/>
        <w:widowControl/>
        <w:suppressLineNumbers w:val="0"/>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第三层采用</w:t>
      </w:r>
      <w:r>
        <w:rPr>
          <w:rFonts w:hint="eastAsia" w:ascii="仿宋" w:hAnsi="仿宋" w:eastAsia="仿宋" w:cs="仿宋"/>
          <w:color w:val="auto"/>
          <w:kern w:val="2"/>
          <w:sz w:val="24"/>
          <w:szCs w:val="22"/>
          <w:highlight w:val="none"/>
          <w:u w:val="none"/>
          <w:lang w:eastAsia="zh-CN"/>
        </w:rPr>
        <w:t>招标人</w:t>
      </w:r>
      <w:r>
        <w:rPr>
          <w:rFonts w:hint="eastAsia" w:ascii="仿宋" w:hAnsi="仿宋" w:eastAsia="仿宋" w:cs="仿宋"/>
          <w:color w:val="auto"/>
          <w:kern w:val="2"/>
          <w:sz w:val="24"/>
          <w:szCs w:val="22"/>
          <w:highlight w:val="none"/>
          <w:u w:val="none"/>
        </w:rPr>
        <w:t>提供的实际风墙/旋转机械试验数据进行工程验证。</w:t>
      </w:r>
    </w:p>
    <w:p w14:paraId="3671952B">
      <w:pPr>
        <w:pStyle w:val="6"/>
        <w:widowControl/>
        <w:spacing w:line="312" w:lineRule="auto"/>
        <w:ind w:firstLineChars="0"/>
        <w:outlineLvl w:val="1"/>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验收重点评价以下指标：</w:t>
      </w:r>
    </w:p>
    <w:tbl>
      <w:tblPr>
        <w:tblStyle w:val="8"/>
        <w:tblW w:w="9620"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5"/>
        <w:gridCol w:w="7825"/>
      </w:tblGrid>
      <w:tr w14:paraId="0BD42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56990BEB">
            <w:pPr>
              <w:keepNext w:val="0"/>
              <w:keepLines w:val="0"/>
              <w:widowControl/>
              <w:suppressLineNumbers w:val="0"/>
              <w:spacing w:line="312" w:lineRule="auto"/>
              <w:jc w:val="center"/>
              <w:rPr>
                <w:rFonts w:hint="eastAsia" w:ascii="仿宋" w:hAnsi="仿宋" w:eastAsia="仿宋" w:cs="仿宋"/>
                <w:b w:val="0"/>
                <w:bCs w:val="0"/>
                <w:color w:val="auto"/>
                <w:kern w:val="2"/>
                <w:sz w:val="24"/>
                <w:szCs w:val="22"/>
                <w:highlight w:val="none"/>
                <w:u w:val="none"/>
                <w:lang w:val="en-US" w:eastAsia="zh-CN" w:bidi="ar-SA"/>
              </w:rPr>
            </w:pPr>
            <w:r>
              <w:rPr>
                <w:rFonts w:hint="eastAsia" w:ascii="仿宋" w:hAnsi="仿宋" w:eastAsia="仿宋" w:cs="仿宋"/>
                <w:b w:val="0"/>
                <w:bCs w:val="0"/>
                <w:color w:val="auto"/>
                <w:kern w:val="2"/>
                <w:sz w:val="24"/>
                <w:szCs w:val="22"/>
                <w:highlight w:val="none"/>
                <w:u w:val="none"/>
                <w:lang w:val="en-US" w:eastAsia="zh-CN" w:bidi="ar-SA"/>
              </w:rPr>
              <w:t>验收项目</w:t>
            </w:r>
          </w:p>
        </w:tc>
        <w:tc>
          <w:tcPr>
            <w:tcW w:w="7825" w:type="dxa"/>
            <w:shd w:val="clear" w:color="auto" w:fill="auto"/>
            <w:vAlign w:val="center"/>
          </w:tcPr>
          <w:p w14:paraId="75D09280">
            <w:pPr>
              <w:keepNext w:val="0"/>
              <w:keepLines w:val="0"/>
              <w:widowControl/>
              <w:suppressLineNumbers w:val="0"/>
              <w:spacing w:line="312" w:lineRule="auto"/>
              <w:jc w:val="center"/>
              <w:rPr>
                <w:rFonts w:hint="eastAsia" w:ascii="仿宋" w:hAnsi="仿宋" w:eastAsia="仿宋" w:cs="仿宋"/>
                <w:b w:val="0"/>
                <w:bCs w:val="0"/>
                <w:color w:val="auto"/>
                <w:kern w:val="2"/>
                <w:sz w:val="24"/>
                <w:szCs w:val="22"/>
                <w:highlight w:val="none"/>
                <w:u w:val="none"/>
                <w:lang w:val="en-US" w:eastAsia="zh-CN" w:bidi="ar-SA"/>
              </w:rPr>
            </w:pPr>
            <w:r>
              <w:rPr>
                <w:rFonts w:hint="eastAsia" w:ascii="仿宋" w:hAnsi="仿宋" w:eastAsia="仿宋" w:cs="仿宋"/>
                <w:b w:val="0"/>
                <w:bCs w:val="0"/>
                <w:color w:val="auto"/>
                <w:kern w:val="2"/>
                <w:sz w:val="24"/>
                <w:szCs w:val="22"/>
                <w:highlight w:val="none"/>
                <w:u w:val="none"/>
                <w:lang w:val="en-US" w:eastAsia="zh-CN" w:bidi="ar-SA"/>
              </w:rPr>
              <w:t>基本要求</w:t>
            </w:r>
          </w:p>
        </w:tc>
      </w:tr>
      <w:tr w14:paraId="4B2E7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60D7EEFA">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静止声源定位</w:t>
            </w:r>
          </w:p>
        </w:tc>
        <w:tc>
          <w:tcPr>
            <w:tcW w:w="7825" w:type="dxa"/>
            <w:shd w:val="clear" w:color="auto" w:fill="auto"/>
            <w:vAlign w:val="center"/>
          </w:tcPr>
          <w:p w14:paraId="2250B23F">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能够正确定位标准点声源，结果与理论位置一致</w:t>
            </w:r>
          </w:p>
        </w:tc>
      </w:tr>
      <w:tr w14:paraId="78B8B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7BA90294">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旋转声源跟踪</w:t>
            </w:r>
          </w:p>
        </w:tc>
        <w:tc>
          <w:tcPr>
            <w:tcW w:w="7825" w:type="dxa"/>
            <w:shd w:val="clear" w:color="auto" w:fill="auto"/>
            <w:vAlign w:val="center"/>
          </w:tcPr>
          <w:p w14:paraId="4CD86D43">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在旋转坐标系中能够形成稳定声源位置，不应出现由未修正旋转运动造成的明显周向拖尾</w:t>
            </w:r>
          </w:p>
        </w:tc>
      </w:tr>
      <w:tr w14:paraId="48D9D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59EC1686">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转速适应</w:t>
            </w:r>
          </w:p>
        </w:tc>
        <w:tc>
          <w:tcPr>
            <w:tcW w:w="7825" w:type="dxa"/>
            <w:shd w:val="clear" w:color="auto" w:fill="auto"/>
            <w:vAlign w:val="center"/>
          </w:tcPr>
          <w:p w14:paraId="0FB6BC38">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对正常试验范围内转速波动能够正确处理</w:t>
            </w:r>
          </w:p>
        </w:tc>
      </w:tr>
      <w:tr w14:paraId="568A2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72471EB5">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多普勒修正</w:t>
            </w:r>
          </w:p>
        </w:tc>
        <w:tc>
          <w:tcPr>
            <w:tcW w:w="7825" w:type="dxa"/>
            <w:shd w:val="clear" w:color="auto" w:fill="auto"/>
            <w:vAlign w:val="center"/>
          </w:tcPr>
          <w:p w14:paraId="6B48356A">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开启和关闭修正时结果差异符合理论规律，经修正后定位聚焦程度明显改善</w:t>
            </w:r>
          </w:p>
        </w:tc>
      </w:tr>
      <w:tr w14:paraId="7E2B2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5EDEE51B">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阶次定位</w:t>
            </w:r>
          </w:p>
        </w:tc>
        <w:tc>
          <w:tcPr>
            <w:tcW w:w="7825" w:type="dxa"/>
            <w:shd w:val="clear" w:color="auto" w:fill="auto"/>
            <w:vAlign w:val="center"/>
          </w:tcPr>
          <w:p w14:paraId="13055532">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能正确提取指定阶次并获得对应空间声源分布</w:t>
            </w:r>
          </w:p>
        </w:tc>
      </w:tr>
      <w:tr w14:paraId="1FEE0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184FBD66">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背景噪声抑制</w:t>
            </w:r>
          </w:p>
        </w:tc>
        <w:tc>
          <w:tcPr>
            <w:tcW w:w="7825" w:type="dxa"/>
            <w:shd w:val="clear" w:color="auto" w:fill="auto"/>
            <w:vAlign w:val="center"/>
          </w:tcPr>
          <w:p w14:paraId="2C6C7205">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高背景噪声工况下，相比未经处理结果具有明显更好的声源识别能力</w:t>
            </w:r>
          </w:p>
        </w:tc>
      </w:tr>
      <w:tr w14:paraId="50AA7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4F0F036F">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多声源分辨</w:t>
            </w:r>
          </w:p>
        </w:tc>
        <w:tc>
          <w:tcPr>
            <w:tcW w:w="7825" w:type="dxa"/>
            <w:shd w:val="clear" w:color="auto" w:fill="auto"/>
            <w:vAlign w:val="center"/>
          </w:tcPr>
          <w:p w14:paraId="4675F93B">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能够识别模拟或实验中预设的多个主要声源区域</w:t>
            </w:r>
          </w:p>
        </w:tc>
      </w:tr>
      <w:tr w14:paraId="25BA5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2F68D237">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重复性</w:t>
            </w:r>
          </w:p>
        </w:tc>
        <w:tc>
          <w:tcPr>
            <w:tcW w:w="7825" w:type="dxa"/>
            <w:shd w:val="clear" w:color="auto" w:fill="auto"/>
            <w:vAlign w:val="center"/>
          </w:tcPr>
          <w:p w14:paraId="000F6F9E">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相同输入及参数条件下多次计算结果保持一致</w:t>
            </w:r>
          </w:p>
        </w:tc>
      </w:tr>
      <w:tr w14:paraId="665C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60320A43">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工程数据</w:t>
            </w:r>
          </w:p>
        </w:tc>
        <w:tc>
          <w:tcPr>
            <w:tcW w:w="7825" w:type="dxa"/>
            <w:shd w:val="clear" w:color="auto" w:fill="auto"/>
            <w:vAlign w:val="center"/>
          </w:tcPr>
          <w:p w14:paraId="32536B1F">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至少完成招标人指定典型风墙工况的旋转声源定位并获得物理合理结果</w:t>
            </w:r>
          </w:p>
        </w:tc>
      </w:tr>
      <w:tr w14:paraId="674E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95" w:type="dxa"/>
            <w:shd w:val="clear" w:color="auto" w:fill="auto"/>
            <w:vAlign w:val="center"/>
          </w:tcPr>
          <w:p w14:paraId="6D7890BD">
            <w:pPr>
              <w:keepNext w:val="0"/>
              <w:keepLines w:val="0"/>
              <w:widowControl/>
              <w:suppressLineNumbers w:val="0"/>
              <w:spacing w:line="312" w:lineRule="auto"/>
              <w:jc w:val="center"/>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软件稳定性</w:t>
            </w:r>
          </w:p>
        </w:tc>
        <w:tc>
          <w:tcPr>
            <w:tcW w:w="7825" w:type="dxa"/>
            <w:shd w:val="clear" w:color="auto" w:fill="auto"/>
            <w:vAlign w:val="center"/>
          </w:tcPr>
          <w:p w14:paraId="14A18CA2">
            <w:pPr>
              <w:keepNext w:val="0"/>
              <w:keepLines w:val="0"/>
              <w:widowControl/>
              <w:suppressLineNumbers w:val="0"/>
              <w:spacing w:line="312" w:lineRule="auto"/>
              <w:jc w:val="left"/>
              <w:rPr>
                <w:rFonts w:hint="eastAsia" w:ascii="仿宋" w:hAnsi="仿宋" w:eastAsia="仿宋" w:cs="仿宋"/>
                <w:color w:val="auto"/>
                <w:kern w:val="2"/>
                <w:sz w:val="24"/>
                <w:szCs w:val="22"/>
                <w:highlight w:val="none"/>
                <w:u w:val="none"/>
                <w:lang w:val="en-US" w:eastAsia="zh-CN" w:bidi="ar-SA"/>
              </w:rPr>
            </w:pPr>
            <w:r>
              <w:rPr>
                <w:rFonts w:hint="eastAsia" w:ascii="仿宋" w:hAnsi="仿宋" w:eastAsia="仿宋" w:cs="仿宋"/>
                <w:color w:val="auto"/>
                <w:kern w:val="2"/>
                <w:sz w:val="24"/>
                <w:szCs w:val="22"/>
                <w:highlight w:val="none"/>
                <w:u w:val="none"/>
                <w:lang w:val="en-US" w:eastAsia="zh-CN" w:bidi="ar-SA"/>
              </w:rPr>
              <w:t>连续处理多个工况过程中不得频繁崩溃、数据错位或出现不可重复结果</w:t>
            </w:r>
          </w:p>
        </w:tc>
      </w:tr>
    </w:tbl>
    <w:p w14:paraId="68719A75">
      <w:pPr>
        <w:pStyle w:val="5"/>
        <w:spacing w:line="312" w:lineRule="auto"/>
        <w:ind w:firstLine="480" w:firstLineChars="200"/>
        <w:rPr>
          <w:rFonts w:hint="eastAsia" w:ascii="仿宋" w:hAnsi="仿宋" w:eastAsia="仿宋"/>
          <w:b/>
          <w:bCs/>
          <w:color w:val="auto"/>
          <w:sz w:val="32"/>
          <w:szCs w:val="32"/>
          <w:highlight w:val="none"/>
          <w:u w:val="none"/>
        </w:rPr>
      </w:pPr>
      <w:r>
        <w:rPr>
          <w:rFonts w:hint="eastAsia" w:ascii="仿宋" w:hAnsi="仿宋" w:eastAsia="仿宋" w:cs="仿宋"/>
          <w:color w:val="auto"/>
          <w:kern w:val="2"/>
          <w:sz w:val="24"/>
          <w:szCs w:val="22"/>
          <w:highlight w:val="none"/>
          <w:u w:val="none"/>
        </w:rPr>
        <w:t>具体空间定位误差、可识别最低信噪比、试验频率范围、最大转速、阵列通道数等定量指标，在获得</w:t>
      </w:r>
      <w:r>
        <w:rPr>
          <w:rFonts w:hint="eastAsia" w:ascii="仿宋" w:hAnsi="仿宋" w:eastAsia="仿宋" w:cs="仿宋"/>
          <w:color w:val="auto"/>
          <w:kern w:val="2"/>
          <w:sz w:val="24"/>
          <w:szCs w:val="22"/>
          <w:highlight w:val="none"/>
          <w:u w:val="none"/>
          <w:lang w:eastAsia="zh-CN"/>
        </w:rPr>
        <w:t>招标人</w:t>
      </w:r>
      <w:r>
        <w:rPr>
          <w:rFonts w:hint="eastAsia" w:ascii="仿宋" w:hAnsi="仿宋" w:eastAsia="仿宋" w:cs="仿宋"/>
          <w:color w:val="auto"/>
          <w:kern w:val="2"/>
          <w:sz w:val="24"/>
          <w:szCs w:val="22"/>
          <w:highlight w:val="none"/>
          <w:u w:val="none"/>
        </w:rPr>
        <w:t>最终阵列尺寸、麦克风数量、采样率、测距和试验模型参数后，由双方在项目初期形成《算法技术指标冻结文件》，该文件作为最终验收依据之一。</w:t>
      </w:r>
    </w:p>
    <w:p w14:paraId="22A367AF">
      <w:pPr>
        <w:widowControl/>
        <w:numPr>
          <w:ilvl w:val="-1"/>
          <w:numId w:val="0"/>
        </w:numPr>
        <w:spacing w:line="312" w:lineRule="auto"/>
        <w:jc w:val="left"/>
        <w:outlineLvl w:val="1"/>
        <w:rPr>
          <w:rFonts w:hint="eastAsia" w:ascii="仿宋" w:hAnsi="仿宋" w:eastAsia="仿宋"/>
          <w:b/>
          <w:bCs/>
          <w:color w:val="auto"/>
          <w:sz w:val="32"/>
          <w:szCs w:val="32"/>
          <w:highlight w:val="none"/>
          <w:u w:val="none"/>
        </w:rPr>
      </w:pPr>
      <w:r>
        <w:rPr>
          <w:rFonts w:hint="eastAsia" w:ascii="仿宋" w:hAnsi="仿宋" w:eastAsia="仿宋"/>
          <w:b/>
          <w:bCs/>
          <w:color w:val="auto"/>
          <w:sz w:val="32"/>
          <w:szCs w:val="32"/>
          <w:highlight w:val="none"/>
          <w:u w:val="none"/>
          <w:lang w:val="en-US" w:eastAsia="zh-CN"/>
        </w:rPr>
        <w:t>六、其他</w:t>
      </w:r>
      <w:r>
        <w:rPr>
          <w:rFonts w:hint="eastAsia" w:ascii="仿宋" w:hAnsi="仿宋" w:eastAsia="仿宋"/>
          <w:b/>
          <w:bCs/>
          <w:color w:val="auto"/>
          <w:sz w:val="32"/>
          <w:szCs w:val="32"/>
          <w:highlight w:val="none"/>
          <w:u w:val="none"/>
        </w:rPr>
        <w:t>要求</w:t>
      </w:r>
    </w:p>
    <w:p w14:paraId="68A942D3">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lang w:val="en-US" w:eastAsia="zh-CN"/>
        </w:rPr>
        <w:t>1.</w:t>
      </w:r>
      <w:r>
        <w:rPr>
          <w:rFonts w:hint="eastAsia" w:ascii="仿宋" w:hAnsi="仿宋" w:eastAsia="仿宋" w:cs="仿宋"/>
          <w:color w:val="auto"/>
          <w:kern w:val="2"/>
          <w:sz w:val="24"/>
          <w:szCs w:val="22"/>
          <w:highlight w:val="none"/>
          <w:u w:val="none"/>
        </w:rPr>
        <w:t>源代码及知识产权要求</w:t>
      </w:r>
    </w:p>
    <w:p w14:paraId="59183167">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本项目属于定制开发项目。项目形成的软件源代码、算法实现代码、接口代码、测试代码、技术文档及针对本项目形成的相关技术成果，应按照双方合同约定向</w:t>
      </w:r>
      <w:r>
        <w:rPr>
          <w:rFonts w:hint="eastAsia" w:ascii="仿宋" w:hAnsi="仿宋" w:eastAsia="仿宋" w:cs="仿宋"/>
          <w:color w:val="auto"/>
          <w:kern w:val="2"/>
          <w:sz w:val="24"/>
          <w:szCs w:val="22"/>
          <w:highlight w:val="none"/>
          <w:u w:val="none"/>
          <w:lang w:eastAsia="zh-CN"/>
        </w:rPr>
        <w:t>招标人</w:t>
      </w:r>
      <w:r>
        <w:rPr>
          <w:rFonts w:hint="eastAsia" w:ascii="仿宋" w:hAnsi="仿宋" w:eastAsia="仿宋" w:cs="仿宋"/>
          <w:color w:val="auto"/>
          <w:kern w:val="2"/>
          <w:sz w:val="24"/>
          <w:szCs w:val="22"/>
          <w:highlight w:val="none"/>
          <w:u w:val="none"/>
        </w:rPr>
        <w:t>完整交付。</w:t>
      </w:r>
    </w:p>
    <w:p w14:paraId="49B19852">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lang w:eastAsia="zh-CN"/>
        </w:rPr>
        <w:t>招标人</w:t>
      </w:r>
      <w:r>
        <w:rPr>
          <w:rFonts w:hint="eastAsia" w:ascii="仿宋" w:hAnsi="仿宋" w:eastAsia="仿宋" w:cs="仿宋"/>
          <w:color w:val="auto"/>
          <w:kern w:val="2"/>
          <w:sz w:val="24"/>
          <w:szCs w:val="22"/>
          <w:highlight w:val="none"/>
          <w:u w:val="none"/>
        </w:rPr>
        <w:t>应具有在本项目及其后续科研、试验测试和工程系统中使用、修改、编译、部署及二次开发相关成果的权利。</w:t>
      </w:r>
    </w:p>
    <w:p w14:paraId="11AD9EC7">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乙方使用已有算法、开源软件或第三方程序时，应在项目文档中明确说明来源、许可证和使用范围，不得将存在知识产权风险或许可限制的代码隐含集成进入交付软件。</w:t>
      </w:r>
    </w:p>
    <w:p w14:paraId="5FFB7B62">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未经</w:t>
      </w:r>
      <w:r>
        <w:rPr>
          <w:rFonts w:hint="eastAsia" w:ascii="仿宋" w:hAnsi="仿宋" w:eastAsia="仿宋" w:cs="仿宋"/>
          <w:color w:val="auto"/>
          <w:kern w:val="2"/>
          <w:sz w:val="24"/>
          <w:szCs w:val="22"/>
          <w:highlight w:val="none"/>
          <w:u w:val="none"/>
          <w:lang w:eastAsia="zh-CN"/>
        </w:rPr>
        <w:t>招标人</w:t>
      </w:r>
      <w:r>
        <w:rPr>
          <w:rFonts w:hint="eastAsia" w:ascii="仿宋" w:hAnsi="仿宋" w:eastAsia="仿宋" w:cs="仿宋"/>
          <w:color w:val="auto"/>
          <w:kern w:val="2"/>
          <w:sz w:val="24"/>
          <w:szCs w:val="22"/>
          <w:highlight w:val="none"/>
          <w:u w:val="none"/>
        </w:rPr>
        <w:t>书面同意，不得将</w:t>
      </w:r>
      <w:r>
        <w:rPr>
          <w:rFonts w:hint="eastAsia" w:ascii="仿宋" w:hAnsi="仿宋" w:eastAsia="仿宋" w:cs="仿宋"/>
          <w:color w:val="auto"/>
          <w:kern w:val="2"/>
          <w:sz w:val="24"/>
          <w:szCs w:val="22"/>
          <w:highlight w:val="none"/>
          <w:u w:val="none"/>
          <w:lang w:eastAsia="zh-CN"/>
        </w:rPr>
        <w:t>招标人</w:t>
      </w:r>
      <w:r>
        <w:rPr>
          <w:rFonts w:hint="eastAsia" w:ascii="仿宋" w:hAnsi="仿宋" w:eastAsia="仿宋" w:cs="仿宋"/>
          <w:color w:val="auto"/>
          <w:kern w:val="2"/>
          <w:sz w:val="24"/>
          <w:szCs w:val="22"/>
          <w:highlight w:val="none"/>
          <w:u w:val="none"/>
        </w:rPr>
        <w:t>提供的阵列布置、试验数据、模型数据及项目测试结果向第三方公开。</w:t>
      </w:r>
    </w:p>
    <w:p w14:paraId="53490BCF">
      <w:pPr>
        <w:pStyle w:val="6"/>
        <w:spacing w:line="312" w:lineRule="auto"/>
        <w:ind w:firstLineChars="0"/>
        <w:rPr>
          <w:rFonts w:hint="eastAsia" w:ascii="仿宋" w:hAnsi="仿宋" w:eastAsia="仿宋" w:cs="仿宋"/>
          <w:color w:val="auto"/>
          <w:kern w:val="2"/>
          <w:sz w:val="24"/>
          <w:szCs w:val="22"/>
          <w:highlight w:val="none"/>
          <w:u w:val="none"/>
          <w:lang w:val="en-US" w:eastAsia="zh-CN"/>
        </w:rPr>
      </w:pPr>
      <w:r>
        <w:rPr>
          <w:rFonts w:hint="eastAsia" w:ascii="仿宋" w:hAnsi="仿宋" w:eastAsia="仿宋" w:cs="仿宋"/>
          <w:color w:val="auto"/>
          <w:kern w:val="2"/>
          <w:sz w:val="24"/>
          <w:szCs w:val="22"/>
          <w:highlight w:val="none"/>
          <w:u w:val="none"/>
          <w:lang w:val="en-US" w:eastAsia="zh-CN"/>
        </w:rPr>
        <w:t>2.建议项目阶段</w:t>
      </w:r>
    </w:p>
    <w:p w14:paraId="055B3036">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项目实施建议分为四个阶段。</w:t>
      </w:r>
    </w:p>
    <w:p w14:paraId="5D2DE006">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第一阶段完成需求分析、阵列及试验条件调研、旋转声源数学模型和总体算法方案设计，并形成技术指标冻结文件。</w:t>
      </w:r>
    </w:p>
    <w:p w14:paraId="32155B29">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第二阶段完成旋转坐标系声传播模型、旋转波束形成、多普勒修正、阶次处理及基础软件框架开发，通过模拟数据验证。</w:t>
      </w:r>
    </w:p>
    <w:p w14:paraId="5149A469">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第三阶段完成高分辨率定位、高背景噪声处理、计算效率优化和实际大型阵列数据接口，并开展实验室及风墙数据验证。</w:t>
      </w:r>
    </w:p>
    <w:p w14:paraId="4A0D266F">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第四阶段完成工程化软件、典型工况测试、问题整改、文档整理、源代码移交、培训和最终验收。</w:t>
      </w:r>
    </w:p>
    <w:p w14:paraId="335DE0C4">
      <w:pPr>
        <w:pStyle w:val="6"/>
        <w:spacing w:line="312" w:lineRule="auto"/>
        <w:ind w:firstLineChars="0"/>
        <w:rPr>
          <w:rFonts w:hint="eastAsia" w:ascii="仿宋" w:hAnsi="仿宋" w:eastAsia="仿宋" w:cs="仿宋"/>
          <w:color w:val="auto"/>
          <w:kern w:val="2"/>
          <w:sz w:val="24"/>
          <w:szCs w:val="22"/>
          <w:highlight w:val="none"/>
          <w:u w:val="none"/>
        </w:rPr>
      </w:pPr>
      <w:r>
        <w:rPr>
          <w:rFonts w:hint="eastAsia" w:ascii="仿宋" w:hAnsi="仿宋" w:eastAsia="仿宋" w:cs="仿宋"/>
          <w:color w:val="auto"/>
          <w:kern w:val="2"/>
          <w:sz w:val="24"/>
          <w:szCs w:val="22"/>
          <w:highlight w:val="none"/>
          <w:u w:val="none"/>
        </w:rPr>
        <w:t>项目不得以论文发表或算法原理演示代替工程交付，最终应以“能够在</w:t>
      </w:r>
      <w:r>
        <w:rPr>
          <w:rFonts w:hint="eastAsia" w:ascii="仿宋" w:hAnsi="仿宋" w:eastAsia="仿宋" w:cs="仿宋"/>
          <w:color w:val="auto"/>
          <w:kern w:val="2"/>
          <w:sz w:val="24"/>
          <w:szCs w:val="22"/>
          <w:highlight w:val="none"/>
          <w:u w:val="none"/>
          <w:lang w:eastAsia="zh-CN"/>
        </w:rPr>
        <w:t>招标人</w:t>
      </w:r>
      <w:r>
        <w:rPr>
          <w:rFonts w:hint="eastAsia" w:ascii="仿宋" w:hAnsi="仿宋" w:eastAsia="仿宋" w:cs="仿宋"/>
          <w:color w:val="auto"/>
          <w:kern w:val="2"/>
          <w:sz w:val="24"/>
          <w:szCs w:val="22"/>
          <w:highlight w:val="none"/>
          <w:u w:val="none"/>
        </w:rPr>
        <w:t>大型麦克风阵列实际数据上稳定完成旋转声源定位”作为项目完成的核心判据。</w:t>
      </w:r>
    </w:p>
    <w:p w14:paraId="74A9D551">
      <w:pPr>
        <w:widowControl/>
        <w:numPr>
          <w:ilvl w:val="255"/>
          <w:numId w:val="0"/>
        </w:numPr>
        <w:spacing w:line="312" w:lineRule="auto"/>
        <w:jc w:val="left"/>
        <w:outlineLvl w:val="1"/>
        <w:rPr>
          <w:rFonts w:hint="default" w:ascii="仿宋" w:hAnsi="仿宋" w:eastAsia="仿宋"/>
          <w:b/>
          <w:bCs/>
          <w:color w:val="auto"/>
          <w:sz w:val="32"/>
          <w:szCs w:val="32"/>
          <w:highlight w:val="none"/>
          <w:u w:val="none"/>
          <w:lang w:val="en-US" w:eastAsia="zh-CN"/>
        </w:rPr>
      </w:pPr>
      <w:r>
        <w:rPr>
          <w:rFonts w:hint="eastAsia" w:ascii="仿宋" w:hAnsi="仿宋" w:eastAsia="仿宋"/>
          <w:b/>
          <w:bCs/>
          <w:color w:val="auto"/>
          <w:sz w:val="32"/>
          <w:szCs w:val="32"/>
          <w:highlight w:val="none"/>
          <w:u w:val="none"/>
          <w:lang w:val="en-US" w:eastAsia="zh-CN"/>
        </w:rPr>
        <w:t>七、承包方式</w:t>
      </w:r>
    </w:p>
    <w:p w14:paraId="67D29BDE">
      <w:pPr>
        <w:widowControl/>
        <w:snapToGrid w:val="0"/>
        <w:spacing w:line="312" w:lineRule="auto"/>
        <w:ind w:right="210" w:firstLine="480" w:firstLineChars="200"/>
        <w:jc w:val="left"/>
        <w:rPr>
          <w:rFonts w:hint="eastAsia" w:ascii="仿宋" w:hAnsi="仿宋" w:eastAsia="仿宋" w:cs="仿宋"/>
          <w:color w:val="auto"/>
          <w:sz w:val="24"/>
          <w:highlight w:val="none"/>
          <w:u w:val="none"/>
        </w:rPr>
      </w:pPr>
      <w:r>
        <w:rPr>
          <w:rFonts w:hint="eastAsia" w:ascii="仿宋" w:hAnsi="仿宋" w:eastAsia="仿宋" w:cs="仿宋"/>
          <w:b w:val="0"/>
          <w:bCs w:val="0"/>
          <w:color w:val="auto"/>
          <w:sz w:val="24"/>
          <w:szCs w:val="22"/>
          <w:highlight w:val="none"/>
          <w:u w:val="none"/>
          <w:lang w:val="en-US" w:eastAsia="zh-CN"/>
        </w:rPr>
        <w:t>固定总价包干</w:t>
      </w:r>
    </w:p>
    <w:p w14:paraId="195FF5FE">
      <w:pPr>
        <w:widowControl/>
        <w:spacing w:line="312" w:lineRule="auto"/>
        <w:jc w:val="left"/>
        <w:outlineLvl w:val="1"/>
        <w:rPr>
          <w:rFonts w:hint="eastAsia" w:ascii="仿宋" w:hAnsi="仿宋" w:eastAsia="仿宋"/>
          <w:b/>
          <w:bCs/>
          <w:color w:val="auto"/>
          <w:sz w:val="32"/>
          <w:szCs w:val="32"/>
          <w:highlight w:val="none"/>
          <w:u w:val="none"/>
          <w:lang w:eastAsia="zh-CN"/>
        </w:rPr>
      </w:pPr>
      <w:r>
        <w:rPr>
          <w:rFonts w:hint="eastAsia" w:ascii="仿宋" w:hAnsi="仿宋" w:eastAsia="仿宋"/>
          <w:b/>
          <w:bCs/>
          <w:color w:val="auto"/>
          <w:sz w:val="32"/>
          <w:szCs w:val="32"/>
          <w:highlight w:val="none"/>
          <w:u w:val="none"/>
          <w:lang w:val="en-US" w:eastAsia="zh-CN"/>
        </w:rPr>
        <w:t>八</w:t>
      </w:r>
      <w:r>
        <w:rPr>
          <w:rFonts w:hint="eastAsia" w:ascii="仿宋" w:hAnsi="仿宋" w:eastAsia="仿宋"/>
          <w:b/>
          <w:bCs/>
          <w:color w:val="auto"/>
          <w:sz w:val="32"/>
          <w:szCs w:val="32"/>
          <w:highlight w:val="none"/>
          <w:u w:val="none"/>
        </w:rPr>
        <w:t>、</w:t>
      </w:r>
      <w:r>
        <w:rPr>
          <w:rFonts w:hint="eastAsia" w:ascii="仿宋" w:hAnsi="仿宋" w:eastAsia="仿宋"/>
          <w:b/>
          <w:bCs/>
          <w:color w:val="auto"/>
          <w:sz w:val="32"/>
          <w:szCs w:val="32"/>
          <w:highlight w:val="none"/>
          <w:u w:val="none"/>
          <w:lang w:val="en-US" w:eastAsia="zh-CN"/>
        </w:rPr>
        <w:t>服务期限</w:t>
      </w:r>
    </w:p>
    <w:p w14:paraId="77DAE7A5">
      <w:pPr>
        <w:widowControl/>
        <w:tabs>
          <w:tab w:val="left" w:pos="900"/>
        </w:tabs>
        <w:spacing w:line="312" w:lineRule="auto"/>
        <w:ind w:firstLine="480" w:firstLineChars="200"/>
        <w:jc w:val="left"/>
        <w:rPr>
          <w:rFonts w:hint="eastAsia" w:ascii="仿宋" w:hAnsi="仿宋" w:eastAsia="仿宋" w:cs="仿宋"/>
          <w:color w:val="auto"/>
          <w:sz w:val="24"/>
          <w:szCs w:val="24"/>
          <w:highlight w:val="none"/>
          <w:u w:val="none"/>
          <w:lang w:eastAsia="zh-CN"/>
        </w:rPr>
      </w:pPr>
      <w:r>
        <w:rPr>
          <w:rFonts w:hint="eastAsia" w:ascii="仿宋" w:hAnsi="仿宋" w:eastAsia="仿宋" w:cs="仿宋"/>
          <w:color w:val="auto"/>
          <w:sz w:val="24"/>
          <w:szCs w:val="24"/>
          <w:highlight w:val="none"/>
          <w:u w:val="none"/>
        </w:rPr>
        <w:t>合同生效后</w:t>
      </w:r>
      <w:r>
        <w:rPr>
          <w:rFonts w:hint="eastAsia" w:ascii="仿宋" w:hAnsi="仿宋" w:eastAsia="仿宋" w:cs="仿宋"/>
          <w:color w:val="auto"/>
          <w:sz w:val="28"/>
          <w:szCs w:val="28"/>
          <w:highlight w:val="none"/>
          <w:u w:val="none"/>
          <w:lang w:val="en-US" w:eastAsia="zh-CN"/>
        </w:rPr>
        <w:t xml:space="preserve"> </w:t>
      </w:r>
      <w:r>
        <w:rPr>
          <w:rFonts w:hint="eastAsia" w:ascii="仿宋" w:hAnsi="仿宋" w:eastAsia="仿宋" w:cs="仿宋"/>
          <w:color w:val="auto"/>
          <w:sz w:val="28"/>
          <w:szCs w:val="28"/>
          <w:highlight w:val="none"/>
          <w:u w:val="single"/>
          <w:lang w:val="en-US" w:eastAsia="zh-CN"/>
        </w:rPr>
        <w:t xml:space="preserve">120 </w:t>
      </w:r>
      <w:r>
        <w:rPr>
          <w:rFonts w:hint="eastAsia" w:ascii="仿宋" w:hAnsi="仿宋" w:eastAsia="仿宋" w:cs="仿宋"/>
          <w:color w:val="auto"/>
          <w:sz w:val="24"/>
          <w:szCs w:val="24"/>
          <w:highlight w:val="none"/>
          <w:u w:val="none"/>
        </w:rPr>
        <w:t>个日历日内，完成合同范围内所有</w:t>
      </w:r>
      <w:r>
        <w:rPr>
          <w:rFonts w:hint="eastAsia" w:ascii="仿宋" w:hAnsi="仿宋" w:eastAsia="仿宋" w:cs="仿宋"/>
          <w:color w:val="auto"/>
          <w:sz w:val="24"/>
          <w:szCs w:val="24"/>
          <w:highlight w:val="none"/>
          <w:u w:val="none"/>
          <w:lang w:val="en-US" w:eastAsia="zh-CN"/>
        </w:rPr>
        <w:t>服务</w:t>
      </w:r>
      <w:r>
        <w:rPr>
          <w:rFonts w:hint="eastAsia" w:ascii="仿宋" w:hAnsi="仿宋" w:eastAsia="仿宋" w:cs="仿宋"/>
          <w:color w:val="auto"/>
          <w:sz w:val="24"/>
          <w:szCs w:val="24"/>
          <w:highlight w:val="none"/>
          <w:u w:val="none"/>
        </w:rPr>
        <w:t>的</w:t>
      </w:r>
      <w:r>
        <w:rPr>
          <w:rFonts w:hint="eastAsia" w:ascii="仿宋" w:hAnsi="仿宋" w:eastAsia="仿宋" w:cs="仿宋"/>
          <w:color w:val="auto"/>
          <w:sz w:val="24"/>
          <w:szCs w:val="24"/>
          <w:highlight w:val="none"/>
          <w:u w:val="none"/>
          <w:lang w:val="en-US" w:eastAsia="zh-CN"/>
        </w:rPr>
        <w:t>开发</w:t>
      </w:r>
      <w:r>
        <w:rPr>
          <w:rFonts w:hint="eastAsia" w:ascii="仿宋" w:hAnsi="仿宋" w:eastAsia="仿宋" w:cs="仿宋"/>
          <w:color w:val="auto"/>
          <w:sz w:val="24"/>
          <w:szCs w:val="24"/>
          <w:highlight w:val="none"/>
          <w:u w:val="none"/>
        </w:rPr>
        <w:t>、安装、调试、验收</w:t>
      </w:r>
      <w:r>
        <w:rPr>
          <w:rFonts w:hint="eastAsia" w:ascii="仿宋" w:hAnsi="仿宋" w:eastAsia="仿宋" w:cs="仿宋"/>
          <w:color w:val="auto"/>
          <w:sz w:val="24"/>
          <w:szCs w:val="24"/>
          <w:highlight w:val="none"/>
          <w:u w:val="none"/>
          <w:lang w:eastAsia="zh-CN"/>
        </w:rPr>
        <w:t>。</w:t>
      </w:r>
    </w:p>
    <w:p w14:paraId="027D2436">
      <w:pPr>
        <w:widowControl/>
        <w:spacing w:line="360" w:lineRule="auto"/>
        <w:jc w:val="left"/>
        <w:outlineLvl w:val="1"/>
        <w:rPr>
          <w:rFonts w:hint="eastAsia" w:ascii="仿宋" w:hAnsi="仿宋" w:eastAsia="仿宋"/>
          <w:b/>
          <w:bCs/>
          <w:color w:val="auto"/>
          <w:sz w:val="32"/>
          <w:szCs w:val="32"/>
          <w:highlight w:val="none"/>
        </w:rPr>
      </w:pPr>
      <w:r>
        <w:rPr>
          <w:rFonts w:hint="eastAsia" w:ascii="仿宋" w:hAnsi="仿宋" w:eastAsia="仿宋"/>
          <w:b/>
          <w:bCs/>
          <w:color w:val="auto"/>
          <w:sz w:val="32"/>
          <w:szCs w:val="32"/>
          <w:highlight w:val="none"/>
          <w:lang w:val="en-US" w:eastAsia="zh-CN"/>
        </w:rPr>
        <w:t>九</w:t>
      </w:r>
      <w:r>
        <w:rPr>
          <w:rFonts w:hint="eastAsia" w:ascii="仿宋" w:hAnsi="仿宋" w:eastAsia="仿宋"/>
          <w:b/>
          <w:bCs/>
          <w:color w:val="auto"/>
          <w:sz w:val="32"/>
          <w:szCs w:val="32"/>
          <w:highlight w:val="none"/>
        </w:rPr>
        <w:t>、质保期及售后服务</w:t>
      </w:r>
    </w:p>
    <w:p w14:paraId="02C16CA3">
      <w:pPr>
        <w:widowControl/>
        <w:tabs>
          <w:tab w:val="left" w:pos="900"/>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1.</w:t>
      </w:r>
      <w:r>
        <w:rPr>
          <w:rFonts w:hint="eastAsia" w:ascii="仿宋" w:hAnsi="仿宋" w:eastAsia="仿宋" w:cs="仿宋"/>
          <w:color w:val="auto"/>
          <w:sz w:val="24"/>
          <w:highlight w:val="none"/>
          <w:lang w:val="en-US" w:eastAsia="zh-CN"/>
        </w:rPr>
        <w:t>软件</w:t>
      </w:r>
      <w:r>
        <w:rPr>
          <w:rFonts w:hint="eastAsia" w:ascii="仿宋" w:hAnsi="仿宋" w:eastAsia="仿宋" w:cs="仿宋"/>
          <w:color w:val="auto"/>
          <w:sz w:val="24"/>
          <w:highlight w:val="none"/>
        </w:rPr>
        <w:t>最终验收合格之日起，</w:t>
      </w:r>
      <w:r>
        <w:rPr>
          <w:rFonts w:hint="eastAsia" w:ascii="仿宋" w:hAnsi="仿宋" w:eastAsia="仿宋" w:cs="仿宋"/>
          <w:color w:val="auto"/>
          <w:sz w:val="24"/>
          <w:highlight w:val="none"/>
          <w:lang w:bidi="ar"/>
        </w:rPr>
        <w:t>免费生产制造商</w:t>
      </w:r>
      <w:r>
        <w:rPr>
          <w:rFonts w:hint="eastAsia" w:ascii="仿宋" w:hAnsi="仿宋" w:eastAsia="仿宋" w:cs="仿宋"/>
          <w:color w:val="auto"/>
          <w:sz w:val="24"/>
          <w:highlight w:val="none"/>
        </w:rPr>
        <w:t>质保12个月，提供终身维修服务。</w:t>
      </w:r>
    </w:p>
    <w:p w14:paraId="7D3EA705">
      <w:pPr>
        <w:widowControl/>
        <w:tabs>
          <w:tab w:val="left" w:pos="900"/>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2.技术培训：中标人须安排工程师对用户现场培训，培训地点为用户指定地点，内容包括</w:t>
      </w:r>
      <w:r>
        <w:rPr>
          <w:rFonts w:hint="eastAsia" w:ascii="仿宋" w:hAnsi="仿宋" w:eastAsia="仿宋" w:cs="仿宋"/>
          <w:color w:val="auto"/>
          <w:sz w:val="24"/>
          <w:highlight w:val="none"/>
          <w:lang w:val="en-US" w:eastAsia="zh-CN"/>
        </w:rPr>
        <w:t>软件</w:t>
      </w:r>
      <w:r>
        <w:rPr>
          <w:rFonts w:hint="eastAsia" w:ascii="仿宋" w:hAnsi="仿宋" w:eastAsia="仿宋" w:cs="仿宋"/>
          <w:color w:val="auto"/>
          <w:sz w:val="24"/>
          <w:highlight w:val="none"/>
        </w:rPr>
        <w:t>的技术原理、操作、数据处理、基本维护等，培训时间不小于5天，以用户熟练操作为准，涉及相关费用由中标人承担。</w:t>
      </w:r>
    </w:p>
    <w:p w14:paraId="5D138D1B">
      <w:pPr>
        <w:widowControl/>
        <w:tabs>
          <w:tab w:val="left" w:pos="900"/>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3.售后服务、维修响应要求：直接提供7x24小时的技术支持服务，技术支持和售后服务。接到用户通知后24小时内响应，3个工作日内到达现场进行服务。一般问题应在一周内解决，重大问题或其他无法迅速解决的问题应在一周内提出解决方案。</w:t>
      </w:r>
    </w:p>
    <w:p w14:paraId="44124273">
      <w:pPr>
        <w:widowControl/>
        <w:tabs>
          <w:tab w:val="left" w:pos="900"/>
        </w:tabs>
        <w:spacing w:line="360" w:lineRule="auto"/>
        <w:ind w:firstLine="480" w:firstLineChars="200"/>
        <w:jc w:val="left"/>
        <w:rPr>
          <w:rFonts w:hint="eastAsia" w:ascii="仿宋" w:hAnsi="仿宋" w:eastAsia="仿宋" w:cs="仿宋"/>
          <w:color w:val="auto"/>
          <w:sz w:val="24"/>
          <w:highlight w:val="none"/>
        </w:rPr>
      </w:pPr>
      <w:r>
        <w:rPr>
          <w:rFonts w:hint="eastAsia" w:ascii="仿宋" w:hAnsi="仿宋" w:eastAsia="仿宋" w:cs="仿宋"/>
          <w:color w:val="auto"/>
          <w:sz w:val="24"/>
          <w:highlight w:val="none"/>
        </w:rPr>
        <w:t>4.要求中标人提供的其它技术服务内容（如</w:t>
      </w:r>
      <w:r>
        <w:rPr>
          <w:rFonts w:hint="eastAsia" w:ascii="仿宋" w:hAnsi="仿宋" w:eastAsia="仿宋" w:cs="仿宋"/>
          <w:color w:val="auto"/>
          <w:sz w:val="24"/>
          <w:highlight w:val="none"/>
          <w:lang w:val="en-US" w:eastAsia="zh-CN"/>
        </w:rPr>
        <w:t>软件</w:t>
      </w:r>
      <w:r>
        <w:rPr>
          <w:rFonts w:hint="eastAsia" w:ascii="仿宋" w:hAnsi="仿宋" w:eastAsia="仿宋" w:cs="仿宋"/>
          <w:color w:val="auto"/>
          <w:sz w:val="24"/>
          <w:highlight w:val="none"/>
        </w:rPr>
        <w:t>升级要求等）。</w:t>
      </w:r>
    </w:p>
    <w:p w14:paraId="4EBF1964">
      <w:pPr>
        <w:widowControl/>
        <w:spacing w:line="312" w:lineRule="auto"/>
        <w:jc w:val="left"/>
        <w:outlineLvl w:val="1"/>
        <w:rPr>
          <w:rFonts w:hint="eastAsia" w:ascii="仿宋" w:hAnsi="仿宋" w:eastAsia="仿宋"/>
          <w:b/>
          <w:bCs/>
          <w:color w:val="auto"/>
          <w:sz w:val="32"/>
          <w:szCs w:val="32"/>
          <w:highlight w:val="none"/>
          <w:u w:val="none"/>
        </w:rPr>
      </w:pPr>
      <w:r>
        <w:rPr>
          <w:rFonts w:hint="eastAsia" w:ascii="仿宋" w:hAnsi="仿宋" w:eastAsia="仿宋"/>
          <w:b/>
          <w:bCs/>
          <w:color w:val="auto"/>
          <w:sz w:val="32"/>
          <w:szCs w:val="32"/>
          <w:highlight w:val="none"/>
          <w:u w:val="none"/>
          <w:lang w:val="en-US" w:eastAsia="zh-CN"/>
        </w:rPr>
        <w:t>十</w:t>
      </w:r>
      <w:r>
        <w:rPr>
          <w:rFonts w:hint="eastAsia" w:ascii="仿宋" w:hAnsi="仿宋" w:eastAsia="仿宋"/>
          <w:b/>
          <w:bCs/>
          <w:color w:val="auto"/>
          <w:sz w:val="32"/>
          <w:szCs w:val="32"/>
          <w:highlight w:val="none"/>
          <w:u w:val="none"/>
        </w:rPr>
        <w:t>、付款方式</w:t>
      </w:r>
    </w:p>
    <w:p w14:paraId="360336B8">
      <w:pPr>
        <w:widowControl/>
        <w:tabs>
          <w:tab w:val="left" w:pos="900"/>
        </w:tabs>
        <w:spacing w:line="312" w:lineRule="auto"/>
        <w:ind w:firstLine="480" w:firstLineChars="200"/>
        <w:jc w:val="left"/>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合同签订后7日，预付合同价的</w:t>
      </w:r>
      <w:r>
        <w:rPr>
          <w:rFonts w:hint="eastAsia" w:ascii="仿宋" w:hAnsi="仿宋" w:eastAsia="仿宋" w:cs="仿宋"/>
          <w:color w:val="auto"/>
          <w:sz w:val="24"/>
          <w:highlight w:val="none"/>
          <w:u w:val="none"/>
          <w:lang w:val="en-US" w:eastAsia="zh-CN"/>
        </w:rPr>
        <w:t>3</w:t>
      </w:r>
      <w:r>
        <w:rPr>
          <w:rFonts w:hint="eastAsia" w:ascii="仿宋" w:hAnsi="仿宋" w:eastAsia="仿宋" w:cs="仿宋"/>
          <w:color w:val="auto"/>
          <w:sz w:val="24"/>
          <w:highlight w:val="none"/>
          <w:u w:val="none"/>
        </w:rPr>
        <w:t>0%，</w:t>
      </w:r>
      <w:r>
        <w:rPr>
          <w:rFonts w:hint="eastAsia" w:ascii="仿宋" w:hAnsi="仿宋" w:eastAsia="仿宋" w:cs="仿宋"/>
          <w:color w:val="auto"/>
          <w:sz w:val="24"/>
          <w:highlight w:val="none"/>
          <w:u w:val="none"/>
          <w:lang w:val="en-US" w:eastAsia="zh-CN"/>
        </w:rPr>
        <w:t>软件开发完成，</w:t>
      </w:r>
      <w:r>
        <w:rPr>
          <w:rFonts w:hint="eastAsia" w:ascii="仿宋" w:hAnsi="仿宋" w:eastAsia="仿宋" w:cs="仿宋"/>
          <w:color w:val="auto"/>
          <w:sz w:val="24"/>
          <w:szCs w:val="22"/>
          <w:highlight w:val="none"/>
          <w:u w:val="none"/>
        </w:rPr>
        <w:t>内部测试并提交测试版本</w:t>
      </w:r>
      <w:r>
        <w:rPr>
          <w:rFonts w:hint="eastAsia" w:ascii="仿宋" w:hAnsi="仿宋" w:eastAsia="仿宋" w:cs="仿宋"/>
          <w:color w:val="auto"/>
          <w:sz w:val="24"/>
          <w:szCs w:val="22"/>
          <w:highlight w:val="none"/>
          <w:u w:val="none"/>
          <w:lang w:val="en-US" w:eastAsia="zh-CN"/>
        </w:rPr>
        <w:t>经招标人确认</w:t>
      </w:r>
      <w:r>
        <w:rPr>
          <w:rFonts w:hint="eastAsia" w:ascii="仿宋" w:hAnsi="仿宋" w:eastAsia="仿宋" w:cs="仿宋"/>
          <w:color w:val="auto"/>
          <w:sz w:val="24"/>
          <w:highlight w:val="none"/>
          <w:u w:val="none"/>
        </w:rPr>
        <w:t>付合同价的</w:t>
      </w:r>
      <w:r>
        <w:rPr>
          <w:rFonts w:hint="eastAsia" w:ascii="仿宋" w:hAnsi="仿宋" w:eastAsia="仿宋" w:cs="仿宋"/>
          <w:color w:val="auto"/>
          <w:sz w:val="24"/>
          <w:highlight w:val="none"/>
          <w:u w:val="none"/>
          <w:lang w:val="en-US" w:eastAsia="zh-CN"/>
        </w:rPr>
        <w:t>6</w:t>
      </w:r>
      <w:r>
        <w:rPr>
          <w:rFonts w:hint="eastAsia" w:ascii="仿宋" w:hAnsi="仿宋" w:eastAsia="仿宋" w:cs="仿宋"/>
          <w:color w:val="auto"/>
          <w:sz w:val="24"/>
          <w:highlight w:val="none"/>
          <w:u w:val="none"/>
        </w:rPr>
        <w:t>0%，中标人合同履约期限内完成</w:t>
      </w:r>
      <w:r>
        <w:rPr>
          <w:rFonts w:hint="eastAsia" w:ascii="仿宋" w:hAnsi="仿宋" w:eastAsia="仿宋" w:cs="仿宋"/>
          <w:color w:val="auto"/>
          <w:sz w:val="24"/>
          <w:highlight w:val="none"/>
          <w:u w:val="none"/>
          <w:lang w:val="en-US" w:eastAsia="zh-CN"/>
        </w:rPr>
        <w:t>软件</w:t>
      </w:r>
      <w:r>
        <w:rPr>
          <w:rFonts w:hint="eastAsia" w:ascii="仿宋" w:hAnsi="仿宋" w:eastAsia="仿宋" w:cs="仿宋"/>
          <w:color w:val="auto"/>
          <w:sz w:val="24"/>
          <w:highlight w:val="none"/>
          <w:u w:val="none"/>
        </w:rPr>
        <w:t>的</w:t>
      </w:r>
      <w:r>
        <w:rPr>
          <w:rFonts w:hint="eastAsia" w:ascii="仿宋" w:hAnsi="仿宋" w:eastAsia="仿宋" w:cs="仿宋"/>
          <w:color w:val="auto"/>
          <w:sz w:val="24"/>
          <w:highlight w:val="none"/>
          <w:u w:val="none"/>
          <w:lang w:val="en-US" w:eastAsia="zh-CN"/>
        </w:rPr>
        <w:t>开发</w:t>
      </w:r>
      <w:r>
        <w:rPr>
          <w:rFonts w:hint="eastAsia" w:ascii="仿宋" w:hAnsi="仿宋" w:eastAsia="仿宋" w:cs="仿宋"/>
          <w:color w:val="auto"/>
          <w:sz w:val="24"/>
          <w:highlight w:val="none"/>
          <w:u w:val="none"/>
        </w:rPr>
        <w:t>、安装、调试、并经招标人验收合格,</w:t>
      </w:r>
      <w:r>
        <w:rPr>
          <w:rFonts w:hint="eastAsia" w:ascii="仿宋" w:hAnsi="仿宋" w:eastAsia="仿宋" w:cs="仿宋"/>
          <w:color w:val="auto"/>
          <w:sz w:val="24"/>
          <w:highlight w:val="none"/>
          <w:u w:val="none"/>
          <w:lang w:val="en-US" w:eastAsia="zh-CN"/>
        </w:rPr>
        <w:t>系统</w:t>
      </w:r>
      <w:r>
        <w:rPr>
          <w:rFonts w:hint="eastAsia" w:ascii="仿宋" w:hAnsi="仿宋" w:eastAsia="仿宋" w:cs="仿宋"/>
          <w:color w:val="auto"/>
          <w:sz w:val="24"/>
          <w:highlight w:val="none"/>
          <w:u w:val="none"/>
        </w:rPr>
        <w:t>运行1个月无问题后，支付合同价</w:t>
      </w:r>
      <w:r>
        <w:rPr>
          <w:rFonts w:hint="eastAsia" w:ascii="仿宋" w:hAnsi="仿宋" w:eastAsia="仿宋" w:cs="仿宋"/>
          <w:color w:val="auto"/>
          <w:sz w:val="24"/>
          <w:highlight w:val="none"/>
          <w:u w:val="none"/>
          <w:lang w:val="en-US" w:eastAsia="zh-CN"/>
        </w:rPr>
        <w:t>1</w:t>
      </w:r>
      <w:r>
        <w:rPr>
          <w:rFonts w:hint="eastAsia" w:ascii="仿宋" w:hAnsi="仿宋" w:eastAsia="仿宋" w:cs="仿宋"/>
          <w:color w:val="auto"/>
          <w:sz w:val="24"/>
          <w:highlight w:val="none"/>
          <w:u w:val="none"/>
        </w:rPr>
        <w:t>0%。</w:t>
      </w:r>
    </w:p>
    <w:p w14:paraId="3F1B120A">
      <w:pPr>
        <w:spacing w:line="312" w:lineRule="auto"/>
        <w:jc w:val="left"/>
        <w:outlineLvl w:val="1"/>
        <w:rPr>
          <w:rFonts w:hint="eastAsia" w:ascii="仿宋" w:hAnsi="仿宋" w:eastAsia="仿宋"/>
          <w:b/>
          <w:bCs/>
          <w:color w:val="auto"/>
          <w:sz w:val="32"/>
          <w:szCs w:val="32"/>
          <w:highlight w:val="none"/>
          <w:u w:val="none"/>
        </w:rPr>
      </w:pPr>
      <w:r>
        <w:rPr>
          <w:rFonts w:hint="eastAsia" w:ascii="仿宋" w:hAnsi="仿宋" w:eastAsia="仿宋"/>
          <w:b/>
          <w:bCs/>
          <w:color w:val="auto"/>
          <w:sz w:val="32"/>
          <w:szCs w:val="32"/>
          <w:highlight w:val="none"/>
          <w:u w:val="none"/>
          <w:lang w:val="en-US" w:eastAsia="zh-CN"/>
        </w:rPr>
        <w:t>十一</w:t>
      </w:r>
      <w:r>
        <w:rPr>
          <w:rFonts w:hint="eastAsia" w:ascii="仿宋" w:hAnsi="仿宋" w:eastAsia="仿宋"/>
          <w:b/>
          <w:bCs/>
          <w:color w:val="auto"/>
          <w:sz w:val="32"/>
          <w:szCs w:val="32"/>
          <w:highlight w:val="none"/>
          <w:u w:val="none"/>
        </w:rPr>
        <w:t>、项目预算价、最高限价</w:t>
      </w:r>
    </w:p>
    <w:p w14:paraId="10DE9520">
      <w:pPr>
        <w:widowControl/>
        <w:snapToGrid w:val="0"/>
        <w:spacing w:line="312" w:lineRule="auto"/>
        <w:ind w:right="210" w:firstLine="480" w:firstLineChars="200"/>
        <w:jc w:val="left"/>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本项目预算金额：人民币</w:t>
      </w:r>
      <w:r>
        <w:rPr>
          <w:rFonts w:hint="eastAsia" w:ascii="仿宋" w:hAnsi="仿宋" w:eastAsia="仿宋" w:cs="仿宋"/>
          <w:color w:val="auto"/>
          <w:sz w:val="24"/>
          <w:highlight w:val="none"/>
          <w:u w:val="none"/>
          <w:lang w:val="en-US" w:eastAsia="zh-CN"/>
        </w:rPr>
        <w:t>40</w:t>
      </w:r>
      <w:r>
        <w:rPr>
          <w:rFonts w:hint="eastAsia" w:ascii="仿宋" w:hAnsi="仿宋" w:eastAsia="仿宋" w:cs="仿宋"/>
          <w:color w:val="auto"/>
          <w:sz w:val="24"/>
          <w:highlight w:val="none"/>
          <w:u w:val="none"/>
        </w:rPr>
        <w:t>万元</w:t>
      </w:r>
    </w:p>
    <w:p w14:paraId="0014BCC9">
      <w:pPr>
        <w:widowControl/>
        <w:snapToGrid w:val="0"/>
        <w:spacing w:line="312" w:lineRule="auto"/>
        <w:ind w:right="210" w:firstLine="480" w:firstLineChars="200"/>
        <w:jc w:val="left"/>
        <w:rPr>
          <w:rFonts w:hint="eastAsia" w:ascii="仿宋" w:hAnsi="仿宋" w:eastAsia="仿宋" w:cs="仿宋"/>
          <w:color w:val="auto"/>
          <w:sz w:val="24"/>
          <w:highlight w:val="none"/>
          <w:u w:val="none"/>
        </w:rPr>
      </w:pPr>
      <w:r>
        <w:rPr>
          <w:rFonts w:hint="eastAsia" w:ascii="仿宋" w:hAnsi="仿宋" w:eastAsia="仿宋" w:cs="仿宋"/>
          <w:color w:val="auto"/>
          <w:sz w:val="24"/>
          <w:highlight w:val="none"/>
          <w:u w:val="none"/>
        </w:rPr>
        <w:t>本项目最高限价：人民币</w:t>
      </w:r>
      <w:r>
        <w:rPr>
          <w:rFonts w:hint="eastAsia" w:ascii="仿宋" w:hAnsi="仿宋" w:eastAsia="仿宋" w:cs="仿宋"/>
          <w:color w:val="auto"/>
          <w:sz w:val="24"/>
          <w:highlight w:val="none"/>
          <w:u w:val="none"/>
          <w:lang w:val="en-US" w:eastAsia="zh-CN"/>
        </w:rPr>
        <w:t>40</w:t>
      </w:r>
      <w:r>
        <w:rPr>
          <w:rFonts w:hint="eastAsia" w:ascii="仿宋" w:hAnsi="仿宋" w:eastAsia="仿宋" w:cs="仿宋"/>
          <w:color w:val="auto"/>
          <w:sz w:val="24"/>
          <w:highlight w:val="none"/>
          <w:u w:val="none"/>
        </w:rPr>
        <w:t>万元，投标人的报价不得高于最高限价，否则作为无效投标处理。</w:t>
      </w:r>
    </w:p>
    <w:p w14:paraId="6B1C46B4">
      <w:pPr>
        <w:spacing w:line="336" w:lineRule="auto"/>
        <w:ind w:firstLine="480" w:firstLineChars="200"/>
        <w:rPr>
          <w:rFonts w:hint="eastAsia" w:ascii="仿宋" w:hAnsi="仿宋" w:eastAsia="仿宋" w:cs="仿宋"/>
          <w:color w:val="auto"/>
          <w:sz w:val="24"/>
          <w:szCs w:val="24"/>
          <w:highlight w:val="none"/>
          <w:lang w:val="en-US" w:eastAsia="zh-CN"/>
        </w:rPr>
      </w:pPr>
    </w:p>
    <w:p w14:paraId="3F4C48E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30B578"/>
    <w:multiLevelType w:val="singleLevel"/>
    <w:tmpl w:val="2830B578"/>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3229AA"/>
    <w:rsid w:val="29995DFC"/>
    <w:rsid w:val="59322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keepNext/>
      <w:keepLines/>
      <w:ind w:firstLine="200" w:firstLineChars="200"/>
      <w:jc w:val="center"/>
      <w:outlineLvl w:val="2"/>
    </w:pPr>
    <w:rPr>
      <w:b/>
      <w:bCs/>
      <w:kern w:val="0"/>
      <w:sz w:val="28"/>
      <w:szCs w:val="32"/>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3">
    <w:name w:val="Body Text"/>
    <w:basedOn w:val="1"/>
    <w:next w:val="1"/>
    <w:uiPriority w:val="0"/>
    <w:pPr>
      <w:tabs>
        <w:tab w:val="left" w:pos="567"/>
      </w:tabs>
      <w:spacing w:before="120" w:line="22" w:lineRule="atLeast"/>
    </w:pPr>
    <w:rPr>
      <w:rFonts w:ascii="宋体" w:hAnsi="宋体" w:eastAsia="宋体" w:cs="Times New Roman"/>
      <w:sz w:val="24"/>
      <w:szCs w:val="20"/>
    </w:rPr>
  </w:style>
  <w:style w:type="paragraph" w:styleId="4">
    <w:name w:val="Body Text Indent"/>
    <w:basedOn w:val="1"/>
    <w:uiPriority w:val="0"/>
    <w:pPr>
      <w:spacing w:after="120"/>
      <w:ind w:left="420" w:leftChars="200"/>
    </w:pPr>
    <w:rPr>
      <w:rFonts w:ascii="Times New Roman" w:hAnsi="Times New Roman" w:eastAsia="宋体" w:cs="Times New Roman"/>
      <w:kern w:val="0"/>
      <w:sz w:val="20"/>
      <w:szCs w:val="24"/>
    </w:rPr>
  </w:style>
  <w:style w:type="paragraph" w:styleId="5">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6">
    <w:name w:val="Body Text First Indent 2"/>
    <w:basedOn w:val="1"/>
    <w:next w:val="1"/>
    <w:uiPriority w:val="0"/>
    <w:pPr>
      <w:ind w:firstLine="420" w:firstLineChars="200"/>
    </w:pPr>
    <w:rPr>
      <w:rFonts w:ascii="Times New Roman" w:hAnsi="Times New Roman" w:eastAsia="宋体" w:cs="Times New Roman"/>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customStyle="1" w:styleId="11">
    <w:name w:val="NormalCharacter"/>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2026-10-13T01:07:00Z</dcterms:created>
  <dc:creator>沙昊锴</dc:creator>
  <cp:lastModifiedBy>沙昊锴</cp:lastModifiedBy>
  <dcterms:modified xsi:type="dcterms:W3CDTF">2026-10-13T01:32:10Z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AFA14BF46B0E48C89D13603A19A35A2D_11</vt:lpwstr>
  </property>
  <property fmtid="{D5CDD505-2E9C-101B-9397-08002B2CF9AE}" pid="4" name="KSOTemplateDocerSaveRecord">
    <vt:lpwstr>eyJoZGlkIjoiZDBkNWI1YmIxM2MwN2NjN2UyMzRhNjJmODM5ZGE4NzkiLCJ1c2VySWQiOiIxMTk5MjAwMDEwIn0=</vt:lpwstr>
  </property>
</Properties>
</file>